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ba17fbff2fc46a3" /></Relationships>
</file>

<file path=word/document.xml><?xml version="1.0" encoding="utf-8"?>
<w:document xmlns:w="http://schemas.openxmlformats.org/wordprocessingml/2006/main">
  <w:body>
    <w:tbl>
      <w:tblPr>
        <w:tblW w:w="9000" w:type="dxa"/>
        <w:tblBorders>
          <w:top w:val="nil"/>
          <w:bottom w:val="nil"/>
          <w:left w:val="nil"/>
          <w:right w:val="nil"/>
          <w:insideH w:val="nil"/>
          <w:insideV w:val="nil"/>
        </w:tblBorders>
        <w:tblCellSpacing w:w="60" w:type="dxa"/>
        <w:shd w:val="clear" w:color="auto" w:fill="E7F0F9"/>
      </w:tblPr>
      <w:tblGrid>
        <w:gridCol w:w="1200"/>
        <w:gridCol w:w="4500"/>
      </w:tblGrid>
      <w:tr>
        <w:tc>
          <w:tcPr>
            <w:tcW w:w="1200" w:type="pct"/>
            <w:shd w:val="clear" w:color="auto" w:fill="E7F0F9"/>
          </w:tcPr>
          <w:p>
            <w:pPr>
              <w:spacing w:before="0" w:after="0" w:line="240" w:lineRule="auto"/>
              <w:jc w:val="left"/>
            </w:pPr>
            <w:r>
              <w:rPr>
                <w:b/>
              </w:rPr>
              <w:t xml:space="preserve">RKP broj</w:t>
            </w:r>
          </w:p>
        </w:tc>
        <w:tc>
          <w:tcPr>
            <w:shd w:val="clear" w:color="auto" w:fill="E7F0F9"/>
          </w:tcPr>
          <w:p>
            <w:pPr>
              <w:spacing w:before="0" w:after="0" w:line="240" w:lineRule="auto"/>
              <w:jc w:val="left"/>
            </w:pPr>
            <w:r>
              <w:t xml:space="preserve">51915</w:t>
            </w:r>
          </w:p>
        </w:tc>
      </w:tr>
      <w:tr>
        <w:tc>
          <w:tcPr>
            <w:tcW w:w="1200" w:type="pct"/>
            <w:shd w:val="clear" w:color="auto" w:fill="E7F0F9"/>
          </w:tcPr>
          <w:p>
            <w:pPr>
              <w:spacing w:before="0" w:after="0" w:line="240" w:lineRule="auto"/>
              <w:jc w:val="left"/>
            </w:pPr>
            <w:r>
              <w:rPr>
                <w:b/>
              </w:rPr>
              <w:t xml:space="preserve">Naziv obveznika</w:t>
            </w:r>
          </w:p>
        </w:tc>
        <w:tc>
          <w:tcPr>
            <w:shd w:val="clear" w:color="auto" w:fill="E7F0F9"/>
          </w:tcPr>
          <w:p>
            <w:pPr>
              <w:spacing w:before="0" w:after="0" w:line="240" w:lineRule="auto"/>
              <w:jc w:val="left"/>
            </w:pPr>
            <w:r>
              <w:t xml:space="preserve">DJEČJI VRTIĆ SVETI KRIŽ ZAČRETJE</w:t>
            </w:r>
          </w:p>
        </w:tc>
      </w:tr>
      <w:tr>
        <w:tc>
          <w:tcPr>
            <w:tcW w:w="1200" w:type="pct"/>
            <w:shd w:val="clear" w:color="auto" w:fill="E7F0F9"/>
          </w:tcPr>
          <w:p>
            <w:pPr>
              <w:spacing w:before="0" w:after="0" w:line="240" w:lineRule="auto"/>
              <w:jc w:val="left"/>
            </w:pPr>
            <w:r>
              <w:rPr>
                <w:b/>
              </w:rPr>
              <w:t xml:space="preserve">Razina</w:t>
            </w:r>
          </w:p>
        </w:tc>
        <w:tc>
          <w:tcPr>
            <w:shd w:val="clear" w:color="auto" w:fill="E7F0F9"/>
          </w:tcPr>
          <w:p>
            <w:pPr>
              <w:spacing w:before="0" w:after="0" w:line="240" w:lineRule="auto"/>
              <w:jc w:val="left"/>
            </w:pPr>
            <w:r>
              <w:t xml:space="preserve">21</w:t>
            </w:r>
          </w:p>
        </w:tc>
      </w:tr>
    </w:tbl>
    <w:p>
      <w:r>
        <w:br/>
      </w:r>
    </w:p>
    <w:p>
      <w:pPr>
        <w:jc w:val="center"/>
        <w:pStyle w:val="Normal"/>
        <w:spacing w:line="240" w:lineRule="auto"/>
      </w:pPr>
      <w:r>
        <w:rPr>
          <w:b/>
          <w:sz w:val="28"/>
          <w:rFonts w:ascii="Times New Roman" w:hAnsi="Times New Roman"/>
        </w:rPr>
        <w:t>BILJEŠKE UZ FINANCIJSKE IZVJEŠTAJE</w:t>
      </w:r>
    </w:p>
    <w:p>
      <w:pPr>
        <w:jc w:val="center"/>
        <w:pStyle w:val="Normal"/>
        <w:spacing w:line="240" w:lineRule="auto"/>
      </w:pPr>
      <w:r>
        <w:rPr>
          <w:b/>
          <w:sz w:val="28"/>
          <w:rFonts w:ascii="Times New Roman" w:hAnsi="Times New Roman"/>
        </w:rPr>
        <w:t>ZA RAZDOBLJE</w:t>
      </w:r>
    </w:p>
    <w:p>
      <w:pPr>
        <w:jc w:val="center"/>
        <w:pStyle w:val="Normal"/>
        <w:spacing w:line="240" w:lineRule="auto"/>
      </w:pPr>
      <w:r>
        <w:rPr>
          <w:b/>
          <w:sz w:val="28"/>
          <w:rFonts w:ascii="Times New Roman" w:hAnsi="Times New Roman"/>
        </w:rPr>
        <w:t>I - VI 2025.</w:t>
      </w:r>
    </w:p>
    <w:p/>
    <w:p>
      <w:pPr>
        <w:jc w:val="center"/>
        <w:pStyle w:val="Normal"/>
        <w:spacing w:line="240" w:lineRule="auto"/>
        <w:keepNext/>
      </w:pPr>
      <w:r>
        <w:rPr>
          <w:b/>
          <w:sz w:val="28"/>
          <w:rFonts w:ascii="Times New Roman" w:hAnsi="Times New Roman"/>
        </w:rPr>
        <w:t>Izvještaj o prihodima i rashodima, primicima i izdacima</w:t>
      </w:r>
    </w:p>
    <w:p>
      <w:pPr>
        <w:jc w:val="center"/>
        <w:pStyle w:val="Normal"/>
        <w:spacing w:line="240" w:lineRule="auto"/>
        <w:keepNext/>
      </w:pPr>
      <w:r>
        <w:rPr>
          <w:sz w:val="28"/>
          <w:rFonts w:ascii="Times New Roman" w:hAnsi="Times New Roman"/>
        </w:rPr>
        <w:t>Bilješka 1.</w:t>
      </w:r>
    </w:p>
    <w:tbl>
      <w:tblPr>
        <w:tblBorders>
          <w:top w:val="single" w:color="BABABA" w:sz="12"/>
          <w:bottom w:val="single" w:color="BABABA" w:sz="12"/>
          <w:left w:val="single" w:color="BABABA" w:sz="12"/>
          <w:right w:val="single" w:color="BABABA" w:sz="12"/>
          <w:insideH w:val="single" w:color="BABABA" w:sz="8"/>
          <w:insideV w:val="single" w:color="DADADA" w:sz="8"/>
        </w:tblBorders>
        <w:tblW w:w="0" w:type="auto"/>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POSLOVANJA (šifre 61+62+63+64+65+66+67+68)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321.720,55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437.759,94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136,1</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POSLOVANJA (šifre 31+32+34+35+36+37+38)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329.014,51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493.809,43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150,1</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POSLOVANJA (šifre Z005-6)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7.293,96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56.049,49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768,4</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prodaje nefinancijske imovine (šifre 71+72+73+74)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nabavu nefinancijske imovine (šifre 41+42+43+44+45)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931,41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8.680,36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932,0</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OD NEFINANCIJSKE IMOVINE (šifre 4-7)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931,41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8.680,36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932,0</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Primici od financijske imovine i zaduživanja (šifre 81+82+83+84+85)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Izdaci za financijsku imovinu i otplate zajmova (šifre 51+52+53+54+55)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VIŠAK/MANJAK PRIMITAKA OD FINANCIJSKE IMOVINE I ZADUŽIVANJA (šifre 8-5, 5-8)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X003, Y003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I PRIMITAKA (šifre Y345-X678)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8.225,37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64.729,85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787,0</w:t>
            </w:r>
          </w:p>
        </w:tc>
      </w:tr>
    </w:tbl>
    <w:p>
      <w:pPr>
        <w:spacing w:before="0" w:after="0"/>
      </w:pPr>
    </w:p>
    <w:p>
      <w:pPr>
        <w:jc w:val="both"/>
        <w:pStyle w:val="Normal"/>
        <w:spacing w:line="240" w:lineRule="auto"/>
      </w:pPr>
      <w:r>
        <w:rPr>
          <w:sz w:val="24"/>
          <w:rFonts w:ascii="Times New Roman" w:hAnsi="Times New Roman"/>
        </w:rPr>
        <w:t>Ukupni prihodi poslovanja Dječjeg vrtića Sveti Križ Začretje u razdoblju od 1.1.-30.6.2025. godine ostvareni su u iznosu od 437.759,94 eura dok ukupni rashodi iznose 493.809,43 eura. U navedenom razdoblju ostvaren je  manjak prihoda poslovanja u iznosu od 56.049,49 eura te manjak prihoda od nefinancijske imovine u iznosu od 8.680,36 eura. Ukupan manjak prihoda i primitaka iznosi 64.729,85 eura, a odnosi se na plaću za 6. mjesec 2025. koja se isplaćuje u srpnju 2025. za koju će prihod biti evidentiran u srpnju te na račune koji su izdani do 30.6.2025., a s rokom dospijeća u srpnju 2025.
 </w:t>
      </w:r>
    </w:p>
    <w:p>
      <w:r>
        <w:br/>
      </w:r>
    </w:p>
    <w:p>
      <w:pPr>
        <w:jc w:val="center"/>
        <w:pStyle w:val="Normal"/>
        <w:spacing w:line="240" w:lineRule="auto"/>
        <w:keepNext/>
      </w:pPr>
      <w:r>
        <w:rPr>
          <w:sz w:val="28"/>
          <w:rFonts w:ascii="Times New Roman" w:hAnsi="Times New Roman"/>
        </w:rPr>
        <w:t>Bilješka 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6361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Tekuće pomoći proračunskim korisnicima iz proračuna koji im nije nadležan</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6361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3.613,20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1.599,62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44,3</w:t>
            </w:r>
          </w:p>
        </w:tc>
      </w:tr>
    </w:tbl>
    <w:p>
      <w:pPr>
        <w:spacing w:before="0" w:after="0"/>
      </w:pPr>
    </w:p>
    <w:p>
      <w:pPr>
        <w:jc w:val="both"/>
        <w:pStyle w:val="Normal"/>
        <w:spacing w:line="240" w:lineRule="auto"/>
      </w:pPr>
      <w:r>
        <w:rPr>
          <w:sz w:val="24"/>
          <w:rFonts w:ascii="Times New Roman" w:hAnsi="Times New Roman"/>
        </w:rPr>
        <w:t>prihodi ovog konta odnose se na uplate grada Krapine za sufinanciranje boravka djeteta u dječjem vrtiću Sveti Križ Začretje, a koje je s područja grada Krapine te uplata MZOM za financiranje obveznog programa predškole. Budući da je izostala uplata od strane MZOM, prihodi su ove godine manji za 55,7% u odnosu na isto razdoblje prethodne godine te iznose 1.599,62 eura.</w:t>
      </w:r>
    </w:p>
    <w:p/>
    <w:p>
      <w:pPr>
        <w:jc w:val="center"/>
        <w:pStyle w:val="Normal"/>
        <w:spacing w:line="240" w:lineRule="auto"/>
        <w:keepNext/>
      </w:pPr>
      <w:r>
        <w:rPr>
          <w:sz w:val="28"/>
          <w:rFonts w:ascii="Times New Roman" w:hAnsi="Times New Roman"/>
        </w:rPr>
        <w:t>Bilješka 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6526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Ostali nespomenuti prihodi</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6526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57.246,57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75.365,07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131,6</w:t>
            </w:r>
          </w:p>
        </w:tc>
      </w:tr>
    </w:tbl>
    <w:p>
      <w:pPr>
        <w:spacing w:before="0" w:after="0"/>
      </w:pPr>
    </w:p>
    <w:p>
      <w:pPr>
        <w:jc w:val="both"/>
        <w:pStyle w:val="Normal"/>
        <w:spacing w:line="240" w:lineRule="auto"/>
      </w:pPr>
      <w:r>
        <w:rPr>
          <w:sz w:val="24"/>
          <w:rFonts w:ascii="Times New Roman" w:hAnsi="Times New Roman"/>
        </w:rPr>
        <w:t>ostali nespomenuti prihodi odnose se na uplate roditelja za boravak djece u dječjem vrtiću te ostale uplate (izleti, predstave, slike), a ostvareni su u iznosu od 75.365,07 eura što je za 31,6% više u odnosu na isto razdoblje prethodne godine, a razlog povećanja je otvorenje dodatne dvije grupe te su samim time i prihodi od strane uplate roditelja za boravak djece u vrtiću veći.</w:t>
      </w:r>
    </w:p>
    <w:p/>
    <w:p>
      <w:pPr>
        <w:jc w:val="center"/>
        <w:pStyle w:val="Normal"/>
        <w:spacing w:line="240" w:lineRule="auto"/>
        <w:keepNext/>
      </w:pPr>
      <w:r>
        <w:rPr>
          <w:sz w:val="28"/>
          <w:rFonts w:ascii="Times New Roman" w:hAnsi="Times New Roman"/>
        </w:rPr>
        <w:t>Bilješka 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6711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iz nadležnog proračuna za financiranje rashoda poslovanja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6711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260.860,78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360.795,25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138,3</w:t>
            </w:r>
          </w:p>
        </w:tc>
      </w:tr>
    </w:tbl>
    <w:p>
      <w:pPr>
        <w:spacing w:before="0" w:after="0"/>
      </w:pPr>
    </w:p>
    <w:p>
      <w:pPr>
        <w:jc w:val="both"/>
        <w:pStyle w:val="Normal"/>
        <w:spacing w:line="240" w:lineRule="auto"/>
      </w:pPr>
      <w:r>
        <w:rPr>
          <w:sz w:val="24"/>
          <w:rFonts w:ascii="Times New Roman" w:hAnsi="Times New Roman"/>
        </w:rPr>
        <w:t>prihodi iz nadležnog proračuna odnose na prihode dobivene od Općine Sveti Križ Začretje kojima se financiraju plaće i ostali rashodi za zaposlene u Vrtiću. Ostvareni su u iznosu od 360.795,25 eura što predstavlja povećanje od 38,3% u odnosu na isto izvještajno razdoblje prethodne godine, a razlog povećanja je u porastu broja zaposlenih uslijed otvorenja dodatne dvije grupe za boravak djece.</w:t>
      </w:r>
    </w:p>
    <w:p/>
    <w:p>
      <w:pPr>
        <w:jc w:val="center"/>
        <w:pStyle w:val="Normal"/>
        <w:spacing w:line="240" w:lineRule="auto"/>
        <w:keepNext/>
      </w:pPr>
      <w:r>
        <w:rPr>
          <w:sz w:val="28"/>
          <w:rFonts w:ascii="Times New Roman" w:hAnsi="Times New Roman"/>
        </w:rPr>
        <w:t>Bilješka 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3111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Plaće za redovan rad</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3111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215.836,59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342.151,87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158,5</w:t>
            </w:r>
          </w:p>
        </w:tc>
      </w:tr>
    </w:tbl>
    <w:p>
      <w:pPr>
        <w:spacing w:before="0" w:after="0"/>
      </w:pPr>
    </w:p>
    <w:p>
      <w:pPr>
        <w:jc w:val="both"/>
        <w:pStyle w:val="Normal"/>
        <w:spacing w:line="240" w:lineRule="auto"/>
      </w:pPr>
      <w:r>
        <w:rPr>
          <w:sz w:val="24"/>
          <w:rFonts w:ascii="Times New Roman" w:hAnsi="Times New Roman"/>
        </w:rPr>
        <w:t>plaće za redovan rad ostvarene su iznosu od 342.151,87 eura što je za 58,5% više u odnosu na isto razdoblje prethodne godine, a razlog povećanja je veći broj zaposlenih djelatnika uslijed otvorenja dodatne dvije grupe za boravak djece u Vrtiću. </w:t>
      </w:r>
    </w:p>
    <w:p/>
    <w:p>
      <w:pPr>
        <w:jc w:val="center"/>
        <w:pStyle w:val="Normal"/>
        <w:spacing w:line="240" w:lineRule="auto"/>
        <w:keepNext/>
      </w:pPr>
      <w:r>
        <w:rPr>
          <w:sz w:val="28"/>
          <w:rFonts w:ascii="Times New Roman" w:hAnsi="Times New Roman"/>
        </w:rPr>
        <w:t>Bilješka 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3132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Doprinosi za obvezno zdravstveno osiguranje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3132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35.173,19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47.910,12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136,2</w:t>
            </w:r>
          </w:p>
        </w:tc>
      </w:tr>
    </w:tbl>
    <w:p>
      <w:pPr>
        <w:spacing w:before="0" w:after="0"/>
      </w:pPr>
    </w:p>
    <w:p>
      <w:pPr>
        <w:jc w:val="both"/>
        <w:pStyle w:val="Normal"/>
        <w:spacing w:line="240" w:lineRule="auto"/>
      </w:pPr>
      <w:r>
        <w:rPr>
          <w:sz w:val="24"/>
          <w:rFonts w:ascii="Times New Roman" w:hAnsi="Times New Roman"/>
        </w:rPr>
        <w:t>budući da su uslijed većeg broja zaposlenih djelatnika u Dječjem vrtiću Sveti Križ Začretje ,porasli troškovi za plaće, porasli su i troškovi doprinosa za zdravstveno osiguranje za 36,2% u odnosu na isto razdoblje prošle godine te su ostvareni u iznosu od 47.910,12 eura.</w:t>
      </w:r>
    </w:p>
    <w:p/>
    <w:p>
      <w:pPr>
        <w:jc w:val="center"/>
        <w:pStyle w:val="Normal"/>
        <w:spacing w:line="240" w:lineRule="auto"/>
        <w:keepNext/>
      </w:pPr>
      <w:r>
        <w:rPr>
          <w:sz w:val="28"/>
          <w:rFonts w:ascii="Times New Roman" w:hAnsi="Times New Roman"/>
        </w:rPr>
        <w:t>Bilješka 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3211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Službena putovanja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3211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1.576,00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558,88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35,5</w:t>
            </w:r>
          </w:p>
        </w:tc>
      </w:tr>
    </w:tbl>
    <w:p>
      <w:pPr>
        <w:spacing w:before="0" w:after="0"/>
      </w:pPr>
    </w:p>
    <w:p>
      <w:pPr>
        <w:jc w:val="both"/>
        <w:pStyle w:val="Normal"/>
        <w:spacing w:line="240" w:lineRule="auto"/>
      </w:pPr>
      <w:r>
        <w:rPr>
          <w:sz w:val="24"/>
          <w:rFonts w:ascii="Times New Roman" w:hAnsi="Times New Roman"/>
        </w:rPr>
        <w:t>budući da je ove godine manji broj djelatnika upućen na službeno putovanje izvan Ustanove, smanjeni su troškovi službenih putovanja te iznose 558,88 eura što je 64,5% manje u odnosu na isto razdoblje prethodne godine.</w:t>
      </w:r>
    </w:p>
    <w:p/>
    <w:p>
      <w:pPr>
        <w:jc w:val="center"/>
        <w:pStyle w:val="Normal"/>
        <w:spacing w:line="240" w:lineRule="auto"/>
        <w:keepNext/>
      </w:pPr>
      <w:r>
        <w:rPr>
          <w:sz w:val="28"/>
          <w:rFonts w:ascii="Times New Roman" w:hAnsi="Times New Roman"/>
        </w:rPr>
        <w:t>Bilješka 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3212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Naknade za prijevoz, za rad na terenu i odvojeni život</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3212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9.859,26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16.513,72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167,5</w:t>
            </w:r>
          </w:p>
        </w:tc>
      </w:tr>
    </w:tbl>
    <w:p>
      <w:pPr>
        <w:spacing w:before="0" w:after="0"/>
      </w:pPr>
    </w:p>
    <w:p>
      <w:pPr>
        <w:jc w:val="both"/>
        <w:pStyle w:val="Normal"/>
        <w:spacing w:line="240" w:lineRule="auto"/>
      </w:pPr>
      <w:r>
        <w:rPr>
          <w:sz w:val="24"/>
          <w:rFonts w:ascii="Times New Roman" w:hAnsi="Times New Roman"/>
        </w:rPr>
        <w:t>Uslijed dodatnog zapošljavanja djelatnika zbog otvorenja dodatne dvije grupe boravka djece, veći broj djelatnika ostvaruje pravo na naknadu prijevoza na posao i s posla te je iz tog razloga navedeni iznos ove godine veći za 67,5% u odnosu na isto razdoblje prethodne godine te iznosi 16.513,72 eura.</w:t>
      </w:r>
    </w:p>
    <w:p/>
    <w:p>
      <w:pPr>
        <w:jc w:val="center"/>
        <w:pStyle w:val="Normal"/>
        <w:spacing w:line="240" w:lineRule="auto"/>
        <w:keepNext/>
      </w:pPr>
      <w:r>
        <w:rPr>
          <w:sz w:val="28"/>
          <w:rFonts w:ascii="Times New Roman" w:hAnsi="Times New Roman"/>
        </w:rPr>
        <w:t>Bilješka 9.</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3214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Ostale naknade troškova zaposlenima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3214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327,00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6,1</w:t>
            </w:r>
          </w:p>
        </w:tc>
      </w:tr>
    </w:tbl>
    <w:p>
      <w:pPr>
        <w:spacing w:before="0" w:after="0"/>
      </w:pPr>
    </w:p>
    <w:p>
      <w:pPr>
        <w:jc w:val="both"/>
        <w:pStyle w:val="Normal"/>
        <w:spacing w:line="240" w:lineRule="auto"/>
      </w:pPr>
      <w:r>
        <w:rPr>
          <w:sz w:val="24"/>
          <w:rFonts w:ascii="Times New Roman" w:hAnsi="Times New Roman"/>
        </w:rPr>
        <w:t>budući da nije bilo potrebe za upućivanjem djelatnika na službeno putovanje uz upotrebu vlastitog automobila u službene svrhe, trošak ostalih naknada zaposlenima iznosi 20,00 eura što je za 93,9% manje u odnosu na isto izvještajno razdoblje prethodne godine.</w:t>
      </w:r>
    </w:p>
    <w:p/>
    <w:p>
      <w:pPr>
        <w:jc w:val="center"/>
        <w:pStyle w:val="Normal"/>
        <w:spacing w:line="240" w:lineRule="auto"/>
        <w:keepNext/>
      </w:pPr>
      <w:r>
        <w:rPr>
          <w:sz w:val="28"/>
          <w:rFonts w:ascii="Times New Roman" w:hAnsi="Times New Roman"/>
        </w:rPr>
        <w:t>Bilješka 10.</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3221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Uredski materijal i ostali materijalni rashodi</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3221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9.138,12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7.174,91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78,5</w:t>
            </w:r>
          </w:p>
        </w:tc>
      </w:tr>
    </w:tbl>
    <w:p>
      <w:pPr>
        <w:spacing w:before="0" w:after="0"/>
      </w:pPr>
    </w:p>
    <w:p>
      <w:pPr>
        <w:jc w:val="both"/>
        <w:pStyle w:val="Normal"/>
        <w:spacing w:line="240" w:lineRule="auto"/>
      </w:pPr>
      <w:r>
        <w:rPr>
          <w:sz w:val="24"/>
          <w:rFonts w:ascii="Times New Roman" w:hAnsi="Times New Roman"/>
        </w:rPr>
        <w:t>budući da ove godine nije bilo potrebe za većim nabavkama uredskog materijala, materijala za održavanje radionica te didaktičkog materijala, smanjen je iznos na navedenom kontu  te iznosi 7.174,91 eura  što je za 21,5% manje u odnosu na isto razdoblje prethodne godine. </w:t>
      </w:r>
    </w:p>
    <w:p/>
    <w:p>
      <w:pPr>
        <w:jc w:val="center"/>
        <w:pStyle w:val="Normal"/>
        <w:spacing w:line="240" w:lineRule="auto"/>
        <w:keepNext/>
      </w:pPr>
      <w:r>
        <w:rPr>
          <w:sz w:val="28"/>
          <w:rFonts w:ascii="Times New Roman" w:hAnsi="Times New Roman"/>
        </w:rPr>
        <w:t>Bilješka 11.</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3222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Materijal i sirovine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3222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21.478,80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32.509,31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151,4</w:t>
            </w:r>
          </w:p>
        </w:tc>
      </w:tr>
    </w:tbl>
    <w:p>
      <w:pPr>
        <w:spacing w:before="0" w:after="0"/>
      </w:pPr>
    </w:p>
    <w:p>
      <w:pPr>
        <w:jc w:val="both"/>
        <w:pStyle w:val="Normal"/>
        <w:spacing w:line="240" w:lineRule="auto"/>
      </w:pPr>
      <w:r>
        <w:rPr>
          <w:sz w:val="24"/>
          <w:rFonts w:ascii="Times New Roman" w:hAnsi="Times New Roman"/>
        </w:rPr>
        <w:t>zbog većeg broja korisnika usluga dječjeg vrtića, povećana je potreba za nabavkom sirovina i materijala za potrebe dječje kuhinje te je iz tog razloga i veći trošak ovog konta za 51,4% u odnosu na isto izvještajno razdoblje prethodne godine te iznosi 32.509,31 eura.</w:t>
      </w:r>
    </w:p>
    <w:p/>
    <w:p>
      <w:pPr>
        <w:jc w:val="center"/>
        <w:pStyle w:val="Normal"/>
        <w:spacing w:line="240" w:lineRule="auto"/>
        <w:keepNext/>
      </w:pPr>
      <w:r>
        <w:rPr>
          <w:sz w:val="28"/>
          <w:rFonts w:ascii="Times New Roman" w:hAnsi="Times New Roman"/>
        </w:rPr>
        <w:t>Bilješka 12.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3223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Energija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3223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6.497,80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10.210,78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157,1</w:t>
            </w:r>
          </w:p>
        </w:tc>
      </w:tr>
    </w:tbl>
    <w:p>
      <w:pPr>
        <w:spacing w:before="0" w:after="0"/>
      </w:pPr>
    </w:p>
    <w:p>
      <w:pPr>
        <w:jc w:val="both"/>
        <w:pStyle w:val="Normal"/>
        <w:spacing w:line="240" w:lineRule="auto"/>
      </w:pPr>
      <w:r>
        <w:rPr>
          <w:sz w:val="24"/>
          <w:rFonts w:ascii="Times New Roman" w:hAnsi="Times New Roman"/>
        </w:rPr>
        <w:t>troškovi energije veći su za 57,1% u odnosu na isto razdoblje prethodne godine i iznose 10.210,78 eura. Razlog povećanja je veća potrošnja energenata uslijed dogradnje Vrtića i otvorenja dodatne dvije grupe boravka djece.</w:t>
      </w:r>
    </w:p>
    <w:p/>
    <w:p>
      <w:pPr>
        <w:jc w:val="center"/>
        <w:pStyle w:val="Normal"/>
        <w:spacing w:line="240" w:lineRule="auto"/>
        <w:keepNext/>
      </w:pPr>
      <w:r>
        <w:rPr>
          <w:sz w:val="28"/>
          <w:rFonts w:ascii="Times New Roman" w:hAnsi="Times New Roman"/>
        </w:rPr>
        <w:t>Bilješka 13.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3224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Materijal i dijelovi za tekuće i investicijsko održavanje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3224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748,34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339,24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45,3</w:t>
            </w:r>
          </w:p>
        </w:tc>
      </w:tr>
    </w:tbl>
    <w:p>
      <w:pPr>
        <w:spacing w:before="0" w:after="0"/>
      </w:pPr>
    </w:p>
    <w:p>
      <w:pPr>
        <w:jc w:val="both"/>
        <w:pStyle w:val="Normal"/>
        <w:spacing w:line="240" w:lineRule="auto"/>
      </w:pPr>
      <w:r>
        <w:rPr>
          <w:sz w:val="24"/>
          <w:rFonts w:ascii="Times New Roman" w:hAnsi="Times New Roman"/>
        </w:rPr>
        <w:t>budući da nije bilo potrebe za većim popravcima opreme (namještaja) i postrojenja Vrtića, smanjen je iznos navedenog konta za 54,7% u odnosu na isto razdoblje prethodne godine te iznosi  339,24 eura.</w:t>
      </w:r>
    </w:p>
    <w:p/>
    <w:p>
      <w:pPr>
        <w:jc w:val="center"/>
        <w:pStyle w:val="Normal"/>
        <w:spacing w:line="240" w:lineRule="auto"/>
        <w:keepNext/>
      </w:pPr>
      <w:r>
        <w:rPr>
          <w:sz w:val="28"/>
          <w:rFonts w:ascii="Times New Roman" w:hAnsi="Times New Roman"/>
        </w:rPr>
        <w:t>Bilješka 14.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3225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Sitni inventar i autogume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3225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360,48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1.532,65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425,2</w:t>
            </w:r>
          </w:p>
        </w:tc>
      </w:tr>
    </w:tbl>
    <w:p>
      <w:pPr>
        <w:spacing w:before="0" w:after="0"/>
      </w:pPr>
    </w:p>
    <w:p>
      <w:pPr>
        <w:jc w:val="both"/>
        <w:pStyle w:val="Normal"/>
        <w:spacing w:line="240" w:lineRule="auto"/>
      </w:pPr>
      <w:r>
        <w:rPr>
          <w:sz w:val="24"/>
          <w:rFonts w:ascii="Times New Roman" w:hAnsi="Times New Roman"/>
        </w:rPr>
        <w:t>Zbog proširenja (dogradnje) Vrtića te većeg broja korisnika usluga dječjeg vrtića, nabavljen je dodatan pribor za kuhanje i serviranje hrane, nabavljeni su tepisi za sobe dječjeg boravka, jedra za stvaranje hlada tijekom boravka djece na terasama u ljetnim mjesecima te iz tih razloga iznos na navedenom kontu iznosi 1.532,65 eura što je za 325,2% više u odnosu na isto izvještajno razdoblje prethodne godine.</w:t>
      </w:r>
    </w:p>
    <w:p/>
    <w:p>
      <w:pPr>
        <w:jc w:val="center"/>
        <w:pStyle w:val="Normal"/>
        <w:spacing w:line="240" w:lineRule="auto"/>
        <w:keepNext/>
      </w:pPr>
      <w:r>
        <w:rPr>
          <w:sz w:val="28"/>
          <w:rFonts w:ascii="Times New Roman" w:hAnsi="Times New Roman"/>
        </w:rPr>
        <w:t>Bilješka 15.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3227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Službena, radna i zaštitna odjeća i obuća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3227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648,02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469,70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72,5</w:t>
            </w:r>
          </w:p>
        </w:tc>
      </w:tr>
    </w:tbl>
    <w:p>
      <w:pPr>
        <w:spacing w:before="0" w:after="0"/>
      </w:pPr>
    </w:p>
    <w:p>
      <w:pPr>
        <w:jc w:val="both"/>
        <w:pStyle w:val="Normal"/>
        <w:spacing w:line="240" w:lineRule="auto"/>
      </w:pPr>
      <w:r>
        <w:rPr>
          <w:sz w:val="24"/>
          <w:rFonts w:ascii="Times New Roman" w:hAnsi="Times New Roman"/>
        </w:rPr>
        <w:t>budući da nije bilo potrebe za većom nabavkom službene odjeće i obuće, trošak ovog konta iznosi 469,70 eura što je za 27,5% manje u odnosu na isto razdoblje prošle godine.</w:t>
      </w:r>
    </w:p>
    <w:p/>
    <w:p>
      <w:pPr>
        <w:jc w:val="center"/>
        <w:pStyle w:val="Normal"/>
        <w:spacing w:line="240" w:lineRule="auto"/>
        <w:keepNext/>
      </w:pPr>
      <w:r>
        <w:rPr>
          <w:sz w:val="28"/>
          <w:rFonts w:ascii="Times New Roman" w:hAnsi="Times New Roman"/>
        </w:rPr>
        <w:t>Bilješka 16.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Usluge tekućeg i investicijskog održavanja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2.550,20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5.338,88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209,4</w:t>
            </w:r>
          </w:p>
        </w:tc>
      </w:tr>
    </w:tbl>
    <w:p>
      <w:pPr>
        <w:spacing w:before="0" w:after="0"/>
      </w:pPr>
    </w:p>
    <w:p>
      <w:pPr>
        <w:jc w:val="both"/>
        <w:pStyle w:val="Normal"/>
        <w:spacing w:line="240" w:lineRule="auto"/>
      </w:pPr>
      <w:r>
        <w:rPr>
          <w:sz w:val="24"/>
          <w:rFonts w:ascii="Times New Roman" w:hAnsi="Times New Roman"/>
        </w:rPr>
        <w:t>zbog veće potrebe za servisima na opremi i postrojenjima u Vrtiću, povećan je iznos troška na navedenom kontu u odnosu na prethodnu godinu te iznosi 5.338,88 eura dok je u istom razdoblju prethodne godine iznosio 2.550,20 eura što je za 109,4% više .</w:t>
      </w:r>
    </w:p>
    <w:p/>
    <w:p>
      <w:pPr>
        <w:jc w:val="center"/>
        <w:pStyle w:val="Normal"/>
        <w:spacing w:line="240" w:lineRule="auto"/>
        <w:keepNext/>
      </w:pPr>
      <w:r>
        <w:rPr>
          <w:sz w:val="28"/>
          <w:rFonts w:ascii="Times New Roman" w:hAnsi="Times New Roman"/>
        </w:rPr>
        <w:t>Bilješka 17.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Zdravstvene i veterinarske usluge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2.639,71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1.131,43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42,9</w:t>
            </w:r>
          </w:p>
        </w:tc>
      </w:tr>
    </w:tbl>
    <w:p>
      <w:pPr>
        <w:spacing w:before="0" w:after="0"/>
      </w:pPr>
    </w:p>
    <w:p>
      <w:pPr>
        <w:jc w:val="both"/>
        <w:pStyle w:val="Normal"/>
        <w:spacing w:line="240" w:lineRule="auto"/>
      </w:pPr>
      <w:r>
        <w:rPr>
          <w:sz w:val="24"/>
          <w:rFonts w:ascii="Times New Roman" w:hAnsi="Times New Roman"/>
        </w:rPr>
        <w:t>budući da ove godine nismo imali potrebe za upućivanjem većeg broja djelatnika  na medicinu rada (svake dvije godine), trošak ovog konta je manji za 57,1% u odnosu na isto razdoblje prethodne godine te iznosi 1.131,43 eura.</w:t>
      </w:r>
    </w:p>
    <w:p/>
    <w:p>
      <w:pPr>
        <w:jc w:val="center"/>
        <w:pStyle w:val="Normal"/>
        <w:spacing w:line="240" w:lineRule="auto"/>
        <w:keepNext/>
      </w:pPr>
      <w:r>
        <w:rPr>
          <w:sz w:val="28"/>
          <w:rFonts w:ascii="Times New Roman" w:hAnsi="Times New Roman"/>
        </w:rPr>
        <w:t>Bilješka 18.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Pristojbe i naknade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63,72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1.395,72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2190,4</w:t>
            </w:r>
          </w:p>
        </w:tc>
      </w:tr>
    </w:tbl>
    <w:p>
      <w:pPr>
        <w:spacing w:before="0" w:after="0"/>
      </w:pPr>
    </w:p>
    <w:p>
      <w:pPr>
        <w:jc w:val="both"/>
        <w:pStyle w:val="Normal"/>
        <w:spacing w:line="240" w:lineRule="auto"/>
      </w:pPr>
      <w:r>
        <w:rPr>
          <w:sz w:val="24"/>
          <w:rFonts w:ascii="Times New Roman" w:hAnsi="Times New Roman"/>
        </w:rPr>
        <w:t>trošak ovog konta iznosi 1.395,72 eura što je za 2090,4% više u odnosu na isto razdoblje prethodne godine, a razlog je što smo ove godine u sklopu obračuna plaće dužni svaki mjesec plaćati naknadu zbog nezapošljavanja osoba sa invaliditetom u iznosu od 194,00  eura mjesečno.</w:t>
      </w:r>
    </w:p>
    <w:p/>
    <w:p>
      <w:pPr>
        <w:jc w:val="center"/>
        <w:pStyle w:val="Normal"/>
        <w:spacing w:line="240" w:lineRule="auto"/>
        <w:keepNext/>
      </w:pPr>
      <w:r>
        <w:rPr>
          <w:sz w:val="28"/>
          <w:rFonts w:ascii="Times New Roman" w:hAnsi="Times New Roman"/>
        </w:rPr>
        <w:t>Bilješka 19.</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Ostali nespomenuti rashodi poslovanja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637,27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1.376,00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215,9</w:t>
            </w:r>
          </w:p>
        </w:tc>
      </w:tr>
    </w:tbl>
    <w:p>
      <w:pPr>
        <w:spacing w:before="0" w:after="0"/>
      </w:pPr>
    </w:p>
    <w:p>
      <w:pPr>
        <w:jc w:val="both"/>
        <w:pStyle w:val="Normal"/>
        <w:spacing w:line="240" w:lineRule="auto"/>
      </w:pPr>
      <w:r>
        <w:rPr>
          <w:sz w:val="24"/>
          <w:rFonts w:ascii="Times New Roman" w:hAnsi="Times New Roman"/>
        </w:rPr>
        <w:t>zbog obilježavanja 5. rođendana dječjeg vrtića, organizirana je predstava kao poklon djeci, te je iz tog razloga ove godine  trošak ovog konta veći za 115,9% u odnosu na isto razdoblje prethodne godine i iznosi 1.376,00 eura.</w:t>
      </w:r>
    </w:p>
    <w:p/>
    <w:p>
      <w:pPr>
        <w:jc w:val="center"/>
        <w:pStyle w:val="Normal"/>
        <w:spacing w:line="240" w:lineRule="auto"/>
        <w:keepNext/>
      </w:pPr>
      <w:r>
        <w:rPr>
          <w:sz w:val="28"/>
          <w:rFonts w:ascii="Times New Roman" w:hAnsi="Times New Roman"/>
        </w:rPr>
        <w:t>Bilješka 20.</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3431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Bankarske usluge i usluge platnog prometa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3431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437,26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529,13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121,0</w:t>
            </w:r>
          </w:p>
        </w:tc>
      </w:tr>
    </w:tbl>
    <w:p>
      <w:pPr>
        <w:spacing w:before="0" w:after="0"/>
      </w:pPr>
    </w:p>
    <w:p>
      <w:pPr>
        <w:jc w:val="both"/>
        <w:pStyle w:val="Normal"/>
        <w:spacing w:line="240" w:lineRule="auto"/>
      </w:pPr>
      <w:r>
        <w:rPr>
          <w:sz w:val="24"/>
          <w:rFonts w:ascii="Times New Roman" w:hAnsi="Times New Roman"/>
        </w:rPr>
        <w:t>zbog povećanog broja izvršenih transakcija po poslovnom računu, povećani su troškovi na kontu naknade za platni promet te iznose 529,13 eura što je za 21,0% više u odnosu na isto razdoblje prethodne godine.</w:t>
      </w:r>
    </w:p>
    <w:p/>
    <w:p>
      <w:pPr>
        <w:jc w:val="center"/>
        <w:pStyle w:val="Normal"/>
        <w:spacing w:line="240" w:lineRule="auto"/>
        <w:keepNext/>
      </w:pPr>
      <w:r>
        <w:rPr>
          <w:sz w:val="28"/>
          <w:rFonts w:ascii="Times New Roman" w:hAnsi="Times New Roman"/>
        </w:rPr>
        <w:t>Bilješka 21.</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4221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Uredska oprema i namještaj</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4221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1.212,88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uslijed dogradnje (proširenja) vrtića te otvorenja dodatne dvije grupe dječjeg boravka bilo je potrebno nabaviti dodatan namještaj za navedene grupe te iz tog razloga iznos troška na ovom kontu iznosu 1.212,88 eura dok je trošak na ovom kontu u istom razdoblju prethodne godine izostao.</w:t>
      </w:r>
    </w:p>
    <w:p/>
    <w:p>
      <w:pPr>
        <w:jc w:val="center"/>
        <w:pStyle w:val="Normal"/>
        <w:spacing w:line="240" w:lineRule="auto"/>
        <w:keepNext/>
      </w:pPr>
      <w:r>
        <w:rPr>
          <w:sz w:val="28"/>
          <w:rFonts w:ascii="Times New Roman" w:hAnsi="Times New Roman"/>
        </w:rPr>
        <w:t>Bilješka 22.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4227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Uređaji, strojevi i oprema za ostale namjene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4227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304,00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7.096,45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2334,4</w:t>
            </w:r>
          </w:p>
        </w:tc>
      </w:tr>
    </w:tbl>
    <w:p>
      <w:pPr>
        <w:spacing w:before="0" w:after="0"/>
      </w:pPr>
    </w:p>
    <w:p>
      <w:pPr>
        <w:jc w:val="both"/>
        <w:pStyle w:val="Normal"/>
        <w:spacing w:line="240" w:lineRule="auto"/>
      </w:pPr>
      <w:r>
        <w:rPr>
          <w:sz w:val="24"/>
          <w:rFonts w:ascii="Times New Roman" w:hAnsi="Times New Roman"/>
        </w:rPr>
        <w:t>ove godine nabavljena su tri klima uređaja (kuhinja i dodatne dvije grupe dječjeg boravka), kamere za dograđeni dio Dječjeg vrtića te je iznos na ovom kontu veći za 2234,4% veći u odnosu na isto razdoblje prethodne godine i iznosi 7.096,45 eura.</w:t>
      </w:r>
    </w:p>
    <w:p/>
    <w:p>
      <w:pPr>
        <w:jc w:val="center"/>
        <w:pStyle w:val="Normal"/>
        <w:spacing w:line="240" w:lineRule="auto"/>
        <w:keepNext/>
      </w:pPr>
      <w:r>
        <w:rPr>
          <w:b/>
          <w:sz w:val="28"/>
          <w:rFonts w:ascii="Times New Roman" w:hAnsi="Times New Roman"/>
        </w:rPr>
        <w:t>Izvještaj o obvezama</w:t>
      </w:r>
    </w:p>
    <w:p>
      <w:pPr>
        <w:jc w:val="center"/>
        <w:pStyle w:val="Normal"/>
        <w:spacing w:line="240" w:lineRule="auto"/>
        <w:keepNext/>
      </w:pPr>
      <w:r>
        <w:rPr>
          <w:sz w:val="28"/>
          <w:rFonts w:ascii="Times New Roman" w:hAnsi="Times New Roman"/>
        </w:rPr>
        <w:t>Bilješka 23.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Stanje dospjelih obveza na kraju izvještajnog razdoblja (šifre V008+D23+D24 + 'D dio 25,26' + D27)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V007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Dječji vrtić Sveti Križ Začretje na kraju izvještajnog razdoblja nema dospjelih obveza.</w:t>
      </w:r>
    </w:p>
    <w:p/>
    <w:p>
      <w:pPr>
        <w:jc w:val="center"/>
        <w:pStyle w:val="Normal"/>
        <w:spacing w:line="240" w:lineRule="auto"/>
        <w:keepNext/>
      </w:pPr>
      <w:r>
        <w:rPr>
          <w:sz w:val="28"/>
          <w:rFonts w:ascii="Times New Roman" w:hAnsi="Times New Roman"/>
        </w:rPr>
        <w:t>Bilješka 24.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Stanje nedospjelih obveza na kraju izvještajnog razdoblja (šifre V010 + ND23 + ND24 + 'ND dio 25,26' + ND27)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V009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66.804,79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Stanje nedospjelih obveza na kraju izvještajnog razdoblja iznosi 66.804,79 eura, a odnosi se na plaću za lipanj 2025. u iznosu od 58.212,46 eura te materijalne rashode koji su nastali u lipnju, a dospijevaju u srpnju, u iznosu od 8.592,33 eura.</w:t>
      </w:r>
    </w:p>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styles>
</file>

<file path=word/_rels/document.xml.rels>&#65279;<?xml version="1.0" encoding="utf-8"?><Relationships xmlns="http://schemas.openxmlformats.org/package/2006/relationships"><Relationship Type="http://schemas.openxmlformats.org/officeDocument/2006/relationships/styles" Target="/word/styles.xml" Id="R98eb745aa2d0424d" /></Relationships>
</file>