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CBC2" w14:textId="77777777" w:rsidR="006C0D1F" w:rsidRDefault="006C0D1F" w:rsidP="00722EA0">
      <w:pPr>
        <w:pStyle w:val="Tijeloteksta"/>
        <w:spacing w:before="39"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Dječji</w:t>
      </w:r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vrtić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Sveti Križ Začretje</w:t>
      </w:r>
    </w:p>
    <w:p w14:paraId="6C74202E" w14:textId="726068DA" w:rsidR="001558EB" w:rsidRDefault="001558EB" w:rsidP="00722EA0">
      <w:pPr>
        <w:pStyle w:val="Tijeloteksta"/>
        <w:spacing w:before="39" w:line="268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 Julija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Lembergera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2727A1D" w14:textId="568BA7E4" w:rsidR="001558EB" w:rsidRPr="006C0D1F" w:rsidRDefault="001558EB" w:rsidP="00722EA0">
      <w:pPr>
        <w:pStyle w:val="Tijeloteksta"/>
        <w:spacing w:before="39" w:line="268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Sveti Križ Začretje</w:t>
      </w:r>
    </w:p>
    <w:p w14:paraId="3A364E56" w14:textId="77777777" w:rsidR="006C0D1F" w:rsidRPr="006C0D1F" w:rsidRDefault="006C0D1F" w:rsidP="00722EA0">
      <w:pPr>
        <w:pStyle w:val="Tijeloteksta"/>
        <w:spacing w:line="242" w:lineRule="auto"/>
        <w:ind w:left="0" w:right="6766"/>
        <w:rPr>
          <w:rFonts w:ascii="Times New Roman" w:hAnsi="Times New Roman" w:cs="Times New Roman"/>
          <w:sz w:val="24"/>
          <w:szCs w:val="24"/>
        </w:rPr>
      </w:pPr>
    </w:p>
    <w:p w14:paraId="5068194D" w14:textId="77777777" w:rsidR="006C0D1F" w:rsidRPr="006C0D1F" w:rsidRDefault="006C0D1F" w:rsidP="00722EA0">
      <w:pPr>
        <w:pStyle w:val="Tijeloteksta"/>
        <w:spacing w:line="266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Šifra</w:t>
      </w:r>
      <w:r w:rsidRPr="006C0D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grada-općine: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430</w:t>
      </w:r>
    </w:p>
    <w:p w14:paraId="449F7391" w14:textId="77777777" w:rsidR="006C0D1F" w:rsidRPr="006C0D1F" w:rsidRDefault="006C0D1F" w:rsidP="00722EA0">
      <w:pPr>
        <w:pStyle w:val="Tijeloteksta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Broj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RKP:</w:t>
      </w:r>
      <w:r w:rsidRPr="006C0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51915</w:t>
      </w:r>
    </w:p>
    <w:p w14:paraId="34215E4A" w14:textId="77777777" w:rsidR="006C0D1F" w:rsidRPr="006C0D1F" w:rsidRDefault="006C0D1F" w:rsidP="00722EA0">
      <w:pPr>
        <w:pStyle w:val="Tijeloteksta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Matični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broj: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05353971</w:t>
      </w:r>
    </w:p>
    <w:p w14:paraId="7F2B03D6" w14:textId="77777777" w:rsidR="006C0D1F" w:rsidRPr="006C0D1F" w:rsidRDefault="006C0D1F" w:rsidP="00722EA0">
      <w:pPr>
        <w:pStyle w:val="Tijeloteksta"/>
        <w:ind w:left="0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OIB:</w:t>
      </w:r>
      <w:r w:rsidRPr="006C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62179593019</w:t>
      </w:r>
    </w:p>
    <w:p w14:paraId="303F2978" w14:textId="77777777" w:rsidR="006C0D1F" w:rsidRPr="006C0D1F" w:rsidRDefault="006C0D1F" w:rsidP="00722EA0">
      <w:pPr>
        <w:pStyle w:val="Tijeloteksta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Razina:</w:t>
      </w:r>
      <w:r w:rsidRPr="006C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21</w:t>
      </w:r>
    </w:p>
    <w:p w14:paraId="0226BCD6" w14:textId="77777777" w:rsidR="006C0D1F" w:rsidRPr="006C0D1F" w:rsidRDefault="006C0D1F" w:rsidP="00722EA0">
      <w:pPr>
        <w:pStyle w:val="Tijeloteksta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Razdjel: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000</w:t>
      </w:r>
    </w:p>
    <w:p w14:paraId="232701DC" w14:textId="77777777" w:rsidR="006C0D1F" w:rsidRPr="006C0D1F" w:rsidRDefault="006C0D1F" w:rsidP="00722EA0">
      <w:pPr>
        <w:pStyle w:val="Tijeloteksta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Šifra</w:t>
      </w:r>
      <w:r w:rsidRPr="006C0D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djelatnosti: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8510</w:t>
      </w:r>
    </w:p>
    <w:p w14:paraId="2A7F1D88" w14:textId="306D0105" w:rsidR="006C0D1F" w:rsidRPr="006C0D1F" w:rsidRDefault="006C0D1F" w:rsidP="00722EA0">
      <w:pPr>
        <w:pStyle w:val="Tijeloteksta"/>
        <w:spacing w:before="3"/>
        <w:ind w:left="0" w:right="4706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O</w:t>
      </w:r>
      <w:r w:rsidR="00722EA0">
        <w:rPr>
          <w:rFonts w:ascii="Times New Roman" w:hAnsi="Times New Roman" w:cs="Times New Roman"/>
          <w:sz w:val="24"/>
          <w:szCs w:val="24"/>
        </w:rPr>
        <w:t>znaka razdoblja: 01.01.202</w:t>
      </w:r>
      <w:r w:rsidR="00567799">
        <w:rPr>
          <w:rFonts w:ascii="Times New Roman" w:hAnsi="Times New Roman" w:cs="Times New Roman"/>
          <w:sz w:val="24"/>
          <w:szCs w:val="24"/>
        </w:rPr>
        <w:t>4</w:t>
      </w:r>
      <w:r w:rsidR="00722EA0">
        <w:rPr>
          <w:rFonts w:ascii="Times New Roman" w:hAnsi="Times New Roman" w:cs="Times New Roman"/>
          <w:sz w:val="24"/>
          <w:szCs w:val="24"/>
        </w:rPr>
        <w:t xml:space="preserve">. do </w:t>
      </w:r>
      <w:r w:rsidRPr="006C0D1F">
        <w:rPr>
          <w:rFonts w:ascii="Times New Roman" w:hAnsi="Times New Roman" w:cs="Times New Roman"/>
          <w:sz w:val="24"/>
          <w:szCs w:val="24"/>
        </w:rPr>
        <w:t>31.12.202</w:t>
      </w:r>
      <w:r w:rsidR="00567799">
        <w:rPr>
          <w:rFonts w:ascii="Times New Roman" w:hAnsi="Times New Roman" w:cs="Times New Roman"/>
          <w:sz w:val="24"/>
          <w:szCs w:val="24"/>
        </w:rPr>
        <w:t>4</w:t>
      </w:r>
      <w:r w:rsidRPr="006C0D1F">
        <w:rPr>
          <w:rFonts w:ascii="Times New Roman" w:hAnsi="Times New Roman" w:cs="Times New Roman"/>
          <w:sz w:val="24"/>
          <w:szCs w:val="24"/>
        </w:rPr>
        <w:t>.</w:t>
      </w:r>
    </w:p>
    <w:p w14:paraId="699CB542" w14:textId="77777777" w:rsidR="006C0D1F" w:rsidRPr="006C0D1F" w:rsidRDefault="006C0D1F" w:rsidP="00722EA0">
      <w:pPr>
        <w:pStyle w:val="Tijeloteksta"/>
        <w:spacing w:before="3"/>
        <w:ind w:left="0" w:right="5083"/>
        <w:rPr>
          <w:rFonts w:ascii="Times New Roman" w:hAnsi="Times New Roman" w:cs="Times New Roman"/>
          <w:sz w:val="24"/>
          <w:szCs w:val="24"/>
        </w:rPr>
      </w:pPr>
    </w:p>
    <w:p w14:paraId="3BE2906D" w14:textId="3E726586" w:rsidR="006C0D1F" w:rsidRPr="00C24B92" w:rsidRDefault="006C0D1F" w:rsidP="00722EA0">
      <w:pPr>
        <w:pStyle w:val="Tijeloteksta"/>
        <w:spacing w:before="3"/>
        <w:ind w:left="0" w:right="50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B92">
        <w:rPr>
          <w:rFonts w:ascii="Times New Roman" w:hAnsi="Times New Roman" w:cs="Times New Roman"/>
          <w:color w:val="000000" w:themeColor="text1"/>
          <w:spacing w:val="-47"/>
          <w:sz w:val="24"/>
          <w:szCs w:val="24"/>
        </w:rPr>
        <w:t xml:space="preserve"> </w:t>
      </w:r>
      <w:r w:rsidR="00D07786" w:rsidRPr="00C24B92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 w:rsidRPr="00C24B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24B9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24B92">
        <w:rPr>
          <w:rFonts w:ascii="Times New Roman" w:hAnsi="Times New Roman" w:cs="Times New Roman"/>
          <w:color w:val="000000" w:themeColor="text1"/>
          <w:sz w:val="24"/>
          <w:szCs w:val="24"/>
        </w:rPr>
        <w:t>400-01/2</w:t>
      </w:r>
      <w:r w:rsidR="007C77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4B92">
        <w:rPr>
          <w:rFonts w:ascii="Times New Roman" w:hAnsi="Times New Roman" w:cs="Times New Roman"/>
          <w:color w:val="000000" w:themeColor="text1"/>
          <w:sz w:val="24"/>
          <w:szCs w:val="24"/>
        </w:rPr>
        <w:t>-01/01</w:t>
      </w:r>
    </w:p>
    <w:p w14:paraId="7DCB6B34" w14:textId="31042088" w:rsidR="006C0D1F" w:rsidRPr="00C24B92" w:rsidRDefault="00D07786" w:rsidP="00D12516">
      <w:pPr>
        <w:pStyle w:val="Tijeloteksta"/>
        <w:ind w:left="0" w:right="58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B92">
        <w:rPr>
          <w:rFonts w:ascii="Times New Roman" w:hAnsi="Times New Roman" w:cs="Times New Roman"/>
          <w:color w:val="000000" w:themeColor="text1"/>
          <w:sz w:val="24"/>
          <w:szCs w:val="24"/>
        </w:rPr>
        <w:t>URBROJ: 2197-53-</w:t>
      </w:r>
      <w:r w:rsidR="00D12516">
        <w:rPr>
          <w:rFonts w:ascii="Times New Roman" w:hAnsi="Times New Roman" w:cs="Times New Roman"/>
          <w:color w:val="000000" w:themeColor="text1"/>
          <w:sz w:val="24"/>
          <w:szCs w:val="24"/>
        </w:rPr>
        <w:t>02-2</w:t>
      </w:r>
      <w:r w:rsidR="007C77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12516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</w:p>
    <w:p w14:paraId="1589A21E" w14:textId="564B995A" w:rsidR="006C0D1F" w:rsidRDefault="006C0D1F" w:rsidP="00B15236">
      <w:pPr>
        <w:pStyle w:val="Tijeloteksta"/>
        <w:ind w:left="0" w:right="5386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 xml:space="preserve">Sveti Križ Začretje. </w:t>
      </w:r>
      <w:r w:rsidR="006976F3">
        <w:rPr>
          <w:rFonts w:ascii="Times New Roman" w:hAnsi="Times New Roman" w:cs="Times New Roman"/>
          <w:sz w:val="24"/>
          <w:szCs w:val="24"/>
        </w:rPr>
        <w:t>29</w:t>
      </w:r>
      <w:r w:rsidR="00B15236">
        <w:rPr>
          <w:rFonts w:ascii="Times New Roman" w:hAnsi="Times New Roman" w:cs="Times New Roman"/>
          <w:sz w:val="24"/>
          <w:szCs w:val="24"/>
        </w:rPr>
        <w:t>.</w:t>
      </w:r>
      <w:r w:rsidRPr="006C0D1F">
        <w:rPr>
          <w:rFonts w:ascii="Times New Roman" w:hAnsi="Times New Roman" w:cs="Times New Roman"/>
          <w:sz w:val="24"/>
          <w:szCs w:val="24"/>
        </w:rPr>
        <w:t>siječnja 202</w:t>
      </w:r>
      <w:r w:rsidR="00567799">
        <w:rPr>
          <w:rFonts w:ascii="Times New Roman" w:hAnsi="Times New Roman" w:cs="Times New Roman"/>
          <w:sz w:val="24"/>
          <w:szCs w:val="24"/>
        </w:rPr>
        <w:t>5</w:t>
      </w:r>
      <w:r w:rsidRPr="006C0D1F">
        <w:rPr>
          <w:rFonts w:ascii="Times New Roman" w:hAnsi="Times New Roman" w:cs="Times New Roman"/>
          <w:sz w:val="24"/>
          <w:szCs w:val="24"/>
        </w:rPr>
        <w:t>.</w:t>
      </w:r>
    </w:p>
    <w:p w14:paraId="153C061B" w14:textId="77777777" w:rsidR="006C0D1F" w:rsidRPr="004D411A" w:rsidRDefault="006C0D1F" w:rsidP="006C0D1F">
      <w:pPr>
        <w:pStyle w:val="Tijeloteksta"/>
        <w:ind w:left="0"/>
        <w:rPr>
          <w:rFonts w:ascii="Times New Roman" w:hAnsi="Times New Roman" w:cs="Times New Roman"/>
        </w:rPr>
      </w:pPr>
    </w:p>
    <w:p w14:paraId="6482EAC4" w14:textId="1F0AA0FF" w:rsidR="00370972" w:rsidRDefault="006C0D1F" w:rsidP="001E2226">
      <w:pPr>
        <w:pStyle w:val="Tijeloteksta"/>
        <w:ind w:left="15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FINANCIJSKI IZVJEŠTAJ DJEČJEG VRTIĆA SVETI KRIŽ ZAČRETJE ZA RAZDOBLJE OD 01.01.202</w:t>
      </w:r>
      <w:r w:rsidR="0056779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DO 31.12.202</w:t>
      </w:r>
      <w:r w:rsidR="0056779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0D75484F" w14:textId="77777777" w:rsidR="00370972" w:rsidRDefault="00370972" w:rsidP="006C0D1F">
      <w:pPr>
        <w:pStyle w:val="Tijeloteksta"/>
        <w:ind w:left="15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F08FE" w14:textId="2BAA3E73" w:rsidR="00A44F20" w:rsidRDefault="001E2226" w:rsidP="00A44F20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Dječji vrtić Sveti Križ Začretje</w:t>
      </w:r>
      <w:r w:rsidRPr="001E2226">
        <w:rPr>
          <w:rFonts w:ascii="Times New Roman" w:hAnsi="Times New Roman" w:cs="Times New Roman"/>
          <w:bCs/>
          <w:sz w:val="24"/>
          <w:szCs w:val="24"/>
        </w:rPr>
        <w:t xml:space="preserve"> posluje u skladu sa Zakonom o </w:t>
      </w:r>
      <w:r>
        <w:rPr>
          <w:rFonts w:ascii="Times New Roman" w:hAnsi="Times New Roman" w:cs="Times New Roman"/>
          <w:bCs/>
          <w:sz w:val="24"/>
          <w:szCs w:val="24"/>
        </w:rPr>
        <w:t xml:space="preserve">predškolskom </w:t>
      </w:r>
      <w:r w:rsidRPr="001E2226">
        <w:rPr>
          <w:rFonts w:ascii="Times New Roman" w:hAnsi="Times New Roman" w:cs="Times New Roman"/>
          <w:bCs/>
          <w:sz w:val="24"/>
          <w:szCs w:val="24"/>
        </w:rPr>
        <w:t xml:space="preserve">odgoju i obrazovanju NN. </w:t>
      </w:r>
      <w:r w:rsidR="00C4507D">
        <w:rPr>
          <w:rFonts w:ascii="Times New Roman" w:hAnsi="Times New Roman" w:cs="Times New Roman"/>
          <w:bCs/>
          <w:sz w:val="24"/>
          <w:szCs w:val="24"/>
        </w:rPr>
        <w:t>b</w:t>
      </w:r>
      <w:r w:rsidRPr="001E2226">
        <w:rPr>
          <w:rFonts w:ascii="Times New Roman" w:hAnsi="Times New Roman" w:cs="Times New Roman"/>
          <w:bCs/>
          <w:sz w:val="24"/>
          <w:szCs w:val="24"/>
        </w:rPr>
        <w:t xml:space="preserve">roj </w:t>
      </w:r>
      <w:r>
        <w:rPr>
          <w:rFonts w:ascii="Times New Roman" w:hAnsi="Times New Roman" w:cs="Times New Roman"/>
          <w:bCs/>
          <w:sz w:val="24"/>
          <w:szCs w:val="24"/>
        </w:rPr>
        <w:t>10/97.,107/07.,94/13.,98/19.,57/22. i 101/23</w:t>
      </w:r>
      <w:r w:rsidRPr="001E2226">
        <w:rPr>
          <w:rFonts w:ascii="Times New Roman" w:hAnsi="Times New Roman" w:cs="Times New Roman"/>
          <w:bCs/>
          <w:sz w:val="24"/>
          <w:szCs w:val="24"/>
        </w:rPr>
        <w:t xml:space="preserve">, te Statutom </w:t>
      </w:r>
      <w:r>
        <w:rPr>
          <w:rFonts w:ascii="Times New Roman" w:hAnsi="Times New Roman" w:cs="Times New Roman"/>
          <w:bCs/>
          <w:sz w:val="24"/>
          <w:szCs w:val="24"/>
        </w:rPr>
        <w:t>Dječjeg vrtića Sveti Križ Začretje</w:t>
      </w:r>
      <w:r w:rsidRPr="001E222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8BDC4B" w14:textId="260A2235" w:rsidR="00A44F20" w:rsidRPr="00A44F20" w:rsidRDefault="00A44F20" w:rsidP="00A44F20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Dječji</w:t>
      </w:r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vrtić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Sveti Križ Začretje</w:t>
      </w:r>
      <w:r w:rsidRPr="006C0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djeluje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kao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vlasništvo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Općine Sveti Križ Začretje. Osnovan je Odlukom Općinskog vijeća Općine Sveti Križ Začretje te djeluje kao</w:t>
      </w:r>
      <w:r w:rsidRPr="006C0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javna Ustanova predškolskog odgoja i obrazovanja, skrbi o djeci rane i predškolske dobi.</w:t>
      </w:r>
    </w:p>
    <w:p w14:paraId="088F04BD" w14:textId="77777777" w:rsidR="00A44F20" w:rsidRPr="006C0D1F" w:rsidRDefault="00A44F20" w:rsidP="00A44F20">
      <w:pPr>
        <w:pStyle w:val="Tijeloteksta"/>
        <w:spacing w:before="159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 xml:space="preserve"> U okviru</w:t>
      </w:r>
      <w:r w:rsidRPr="006C0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djelatnosti</w:t>
      </w:r>
      <w:r w:rsidRPr="006C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u</w:t>
      </w:r>
      <w:r w:rsidRPr="006C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Dječjem</w:t>
      </w:r>
      <w:r w:rsidRPr="006C0D1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vrtiću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Sveti Križ Začretje </w:t>
      </w:r>
      <w:r w:rsidRPr="006C0D1F">
        <w:rPr>
          <w:rFonts w:ascii="Times New Roman" w:hAnsi="Times New Roman" w:cs="Times New Roman"/>
          <w:sz w:val="24"/>
          <w:szCs w:val="24"/>
        </w:rPr>
        <w:t>ostvaruju</w:t>
      </w:r>
      <w:r w:rsidRPr="006C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se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sljedeći</w:t>
      </w:r>
      <w:r w:rsidRPr="006C0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programi:</w:t>
      </w:r>
    </w:p>
    <w:p w14:paraId="71B571D1" w14:textId="77777777" w:rsidR="00A44F20" w:rsidRPr="006C0D1F" w:rsidRDefault="00A44F20" w:rsidP="00A44F20">
      <w:pPr>
        <w:pStyle w:val="Odlomakpopisa"/>
        <w:numPr>
          <w:ilvl w:val="0"/>
          <w:numId w:val="1"/>
        </w:numPr>
        <w:tabs>
          <w:tab w:val="left" w:pos="837"/>
        </w:tabs>
        <w:spacing w:before="162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Redoviti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program</w:t>
      </w:r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njege,</w:t>
      </w:r>
      <w:r w:rsidRPr="006C0D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odgoja,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obrazovanja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i</w:t>
      </w:r>
      <w:r w:rsidRPr="006C0D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zdravstvene</w:t>
      </w:r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zaštite,</w:t>
      </w:r>
      <w:r w:rsidRPr="006C0D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prehrane</w:t>
      </w:r>
      <w:r w:rsidRPr="006C0D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i</w:t>
      </w:r>
      <w:r w:rsidRPr="006C0D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socijalne</w:t>
      </w:r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skrbi</w:t>
      </w:r>
      <w:r w:rsidRPr="006C0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djece rane</w:t>
      </w:r>
      <w:r w:rsidRPr="006C0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i predškolske</w:t>
      </w:r>
      <w:r w:rsidRPr="006C0D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dobi,</w:t>
      </w:r>
      <w:r w:rsidRPr="006C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od</w:t>
      </w:r>
      <w:r w:rsidRPr="006C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prve</w:t>
      </w:r>
      <w:r w:rsidRPr="006C0D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godine</w:t>
      </w:r>
      <w:r w:rsidRPr="006C0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života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do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polaska</w:t>
      </w:r>
      <w:r w:rsidRPr="006C0D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u</w:t>
      </w:r>
      <w:r w:rsidRPr="006C0D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Osnovnu</w:t>
      </w:r>
      <w:r w:rsidRPr="006C0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školu,</w:t>
      </w:r>
    </w:p>
    <w:p w14:paraId="58DC50BE" w14:textId="77777777" w:rsidR="00A44F20" w:rsidRPr="006C0D1F" w:rsidRDefault="00A44F20" w:rsidP="00A44F20">
      <w:pPr>
        <w:pStyle w:val="Odlomakpopisa"/>
        <w:numPr>
          <w:ilvl w:val="0"/>
          <w:numId w:val="1"/>
        </w:numPr>
        <w:tabs>
          <w:tab w:val="left" w:pos="8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Program</w:t>
      </w:r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C0D1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-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program</w:t>
      </w:r>
      <w:r w:rsidRPr="006C0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javnih</w:t>
      </w:r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potreba,</w:t>
      </w:r>
    </w:p>
    <w:p w14:paraId="17125F92" w14:textId="77777777" w:rsidR="00A44F20" w:rsidRPr="006C0D1F" w:rsidRDefault="00A44F20" w:rsidP="00A44F20">
      <w:pPr>
        <w:pStyle w:val="Odlomakpopisa"/>
        <w:numPr>
          <w:ilvl w:val="0"/>
          <w:numId w:val="1"/>
        </w:numPr>
        <w:tabs>
          <w:tab w:val="left" w:pos="837"/>
        </w:tabs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Kraći</w:t>
      </w:r>
      <w:r w:rsidRPr="006C0D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program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engleskog</w:t>
      </w:r>
      <w:r w:rsidRPr="006C0D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jezika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215C74E" w14:textId="77777777" w:rsidR="00A44F20" w:rsidRPr="001E2226" w:rsidRDefault="00A44F20" w:rsidP="001E222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D3481C" w14:textId="0D79AC67" w:rsidR="001E2226" w:rsidRDefault="001E2226" w:rsidP="001E222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Godišnji financijski izvještaj</w:t>
      </w:r>
      <w:r w:rsidR="001558EB">
        <w:rPr>
          <w:rFonts w:ascii="Times New Roman" w:hAnsi="Times New Roman" w:cs="Times New Roman"/>
          <w:bCs/>
          <w:sz w:val="24"/>
          <w:szCs w:val="24"/>
        </w:rPr>
        <w:t>i</w:t>
      </w:r>
      <w:r w:rsidRPr="001E2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Dječjeg vrtića Sveti Križ Začretje</w:t>
      </w:r>
      <w:r w:rsidRPr="001E2226">
        <w:rPr>
          <w:rFonts w:ascii="Times New Roman" w:hAnsi="Times New Roman" w:cs="Times New Roman"/>
          <w:bCs/>
          <w:sz w:val="24"/>
          <w:szCs w:val="24"/>
        </w:rPr>
        <w:t xml:space="preserve"> sastavljeni su nakon što su proknjižene sve poslovne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226">
        <w:rPr>
          <w:rFonts w:ascii="Times New Roman" w:hAnsi="Times New Roman" w:cs="Times New Roman"/>
          <w:bCs/>
          <w:sz w:val="24"/>
          <w:szCs w:val="24"/>
        </w:rPr>
        <w:t>promjene, događaji i transakcije za razdoblje siječanj – prosinac 202</w:t>
      </w:r>
      <w:r w:rsidR="00567799">
        <w:rPr>
          <w:rFonts w:ascii="Times New Roman" w:hAnsi="Times New Roman" w:cs="Times New Roman"/>
          <w:bCs/>
          <w:sz w:val="24"/>
          <w:szCs w:val="24"/>
        </w:rPr>
        <w:t>4</w:t>
      </w:r>
      <w:r w:rsidRPr="001E2226">
        <w:rPr>
          <w:rFonts w:ascii="Times New Roman" w:hAnsi="Times New Roman" w:cs="Times New Roman"/>
          <w:bCs/>
          <w:sz w:val="24"/>
          <w:szCs w:val="24"/>
        </w:rPr>
        <w:t>., nakon što su knjiženja obavljena pravilno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226">
        <w:rPr>
          <w:rFonts w:ascii="Times New Roman" w:hAnsi="Times New Roman" w:cs="Times New Roman"/>
          <w:bCs/>
          <w:sz w:val="24"/>
          <w:szCs w:val="24"/>
        </w:rPr>
        <w:t>ažurno temeljem vjerodostojne knjigovodstvene dokumentacije prema propisanom računskom planu i u skladu 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226">
        <w:rPr>
          <w:rFonts w:ascii="Times New Roman" w:hAnsi="Times New Roman" w:cs="Times New Roman"/>
          <w:bCs/>
          <w:sz w:val="24"/>
          <w:szCs w:val="24"/>
        </w:rPr>
        <w:t>financijskim planom odobrenim od nadležnih tijela. Izvještaji su sastavljeni i predaju se prema odredbama Pravilnika o financijskom izvještavanju u proračunskom računovodstvu (Nar. nov., broj 03/15, 93/15, 135/15, 2/17,28/17,112/18, 126/19, 145/20, 31/21, 37/22) u zakonu određenim rokovima što za proračunske korisnike jedinica lokalne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226">
        <w:rPr>
          <w:rFonts w:ascii="Times New Roman" w:hAnsi="Times New Roman" w:cs="Times New Roman"/>
          <w:bCs/>
          <w:sz w:val="24"/>
          <w:szCs w:val="24"/>
        </w:rPr>
        <w:t>i područne samouprave znači predaju do 31. siječnja 202</w:t>
      </w:r>
      <w:r w:rsidR="00567799">
        <w:rPr>
          <w:rFonts w:ascii="Times New Roman" w:hAnsi="Times New Roman" w:cs="Times New Roman"/>
          <w:bCs/>
          <w:sz w:val="24"/>
          <w:szCs w:val="24"/>
        </w:rPr>
        <w:t>5</w:t>
      </w:r>
      <w:r w:rsidRPr="001E2226">
        <w:rPr>
          <w:rFonts w:ascii="Times New Roman" w:hAnsi="Times New Roman" w:cs="Times New Roman"/>
          <w:bCs/>
          <w:sz w:val="24"/>
          <w:szCs w:val="24"/>
        </w:rPr>
        <w:t xml:space="preserve">. godine. </w:t>
      </w:r>
    </w:p>
    <w:p w14:paraId="37CC8ED7" w14:textId="778C0968" w:rsidR="00497F8D" w:rsidRDefault="00497F8D" w:rsidP="001558EB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F8D">
        <w:rPr>
          <w:rFonts w:ascii="Times New Roman" w:hAnsi="Times New Roman" w:cs="Times New Roman"/>
          <w:bCs/>
          <w:sz w:val="24"/>
          <w:szCs w:val="24"/>
        </w:rPr>
        <w:t>Pravilnikom o financijskom izvještavanju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8D">
        <w:rPr>
          <w:rFonts w:ascii="Times New Roman" w:hAnsi="Times New Roman" w:cs="Times New Roman"/>
          <w:bCs/>
          <w:sz w:val="24"/>
          <w:szCs w:val="24"/>
        </w:rPr>
        <w:t>u proračunskom računovodstvu (N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97F8D">
        <w:rPr>
          <w:rFonts w:ascii="Times New Roman" w:hAnsi="Times New Roman" w:cs="Times New Roman"/>
          <w:bCs/>
          <w:sz w:val="24"/>
          <w:szCs w:val="24"/>
        </w:rPr>
        <w:t>. br.37/22.) propisani su sadržaj i oblik financijskih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8D">
        <w:rPr>
          <w:rFonts w:ascii="Times New Roman" w:hAnsi="Times New Roman" w:cs="Times New Roman"/>
          <w:bCs/>
          <w:sz w:val="24"/>
          <w:szCs w:val="24"/>
        </w:rPr>
        <w:t>izvještaja. Svi obveznici proračunskog računovodstva prema Pravilniku za proračunsku</w:t>
      </w:r>
      <w:r w:rsidR="00155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8D">
        <w:rPr>
          <w:rFonts w:ascii="Times New Roman" w:hAnsi="Times New Roman" w:cs="Times New Roman"/>
          <w:bCs/>
          <w:sz w:val="24"/>
          <w:szCs w:val="24"/>
        </w:rPr>
        <w:t>godinu sastavljaju:</w:t>
      </w:r>
    </w:p>
    <w:p w14:paraId="7A58B723" w14:textId="77777777" w:rsidR="00497F8D" w:rsidRDefault="00497F8D" w:rsidP="00497F8D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FECC86" w14:textId="77777777" w:rsidR="001558EB" w:rsidRDefault="001558EB" w:rsidP="001558EB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F8D">
        <w:rPr>
          <w:rFonts w:ascii="Times New Roman" w:hAnsi="Times New Roman" w:cs="Times New Roman"/>
          <w:bCs/>
          <w:sz w:val="24"/>
          <w:szCs w:val="24"/>
        </w:rPr>
        <w:t>• Izvještaj o prihodima i rashodima, primicima i izdacima na obrascu PR-RAS</w:t>
      </w:r>
    </w:p>
    <w:p w14:paraId="3D7F7D83" w14:textId="77777777" w:rsidR="001558EB" w:rsidRPr="00497F8D" w:rsidRDefault="001558EB" w:rsidP="00497F8D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97A9E" w14:textId="0EAE6F8A" w:rsidR="00497F8D" w:rsidRDefault="00497F8D" w:rsidP="001558EB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F8D">
        <w:rPr>
          <w:rFonts w:ascii="Times New Roman" w:hAnsi="Times New Roman" w:cs="Times New Roman"/>
          <w:bCs/>
          <w:sz w:val="24"/>
          <w:szCs w:val="24"/>
        </w:rPr>
        <w:lastRenderedPageBreak/>
        <w:t>• Bilancu na obrascu BILANCA</w:t>
      </w:r>
    </w:p>
    <w:p w14:paraId="1966F84D" w14:textId="711A59D5" w:rsidR="00497F8D" w:rsidRPr="00497F8D" w:rsidRDefault="00497F8D" w:rsidP="00497F8D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F8D">
        <w:rPr>
          <w:rFonts w:ascii="Times New Roman" w:hAnsi="Times New Roman" w:cs="Times New Roman"/>
          <w:bCs/>
          <w:sz w:val="24"/>
          <w:szCs w:val="24"/>
        </w:rPr>
        <w:t>• Izvještaj o rashodima prema funkcijskoj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8D">
        <w:rPr>
          <w:rFonts w:ascii="Times New Roman" w:hAnsi="Times New Roman" w:cs="Times New Roman"/>
          <w:bCs/>
          <w:sz w:val="24"/>
          <w:szCs w:val="24"/>
        </w:rPr>
        <w:t>klasifikaciji na obrascu RAS - funkcijski</w:t>
      </w:r>
    </w:p>
    <w:p w14:paraId="716D33D8" w14:textId="7EE3D482" w:rsidR="00497F8D" w:rsidRPr="00497F8D" w:rsidRDefault="00497F8D" w:rsidP="00497F8D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F8D">
        <w:rPr>
          <w:rFonts w:ascii="Times New Roman" w:hAnsi="Times New Roman" w:cs="Times New Roman"/>
          <w:bCs/>
          <w:sz w:val="24"/>
          <w:szCs w:val="24"/>
        </w:rPr>
        <w:t>• Izvještaj o promjenama u vrijednosti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8D">
        <w:rPr>
          <w:rFonts w:ascii="Times New Roman" w:hAnsi="Times New Roman" w:cs="Times New Roman"/>
          <w:bCs/>
          <w:sz w:val="24"/>
          <w:szCs w:val="24"/>
        </w:rPr>
        <w:t>obujmu imovine i obveza na obrascu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8D">
        <w:rPr>
          <w:rFonts w:ascii="Times New Roman" w:hAnsi="Times New Roman" w:cs="Times New Roman"/>
          <w:bCs/>
          <w:sz w:val="24"/>
          <w:szCs w:val="24"/>
        </w:rPr>
        <w:t>P-VRIO</w:t>
      </w:r>
    </w:p>
    <w:p w14:paraId="4D4A3285" w14:textId="77777777" w:rsidR="00497F8D" w:rsidRDefault="00497F8D" w:rsidP="00497F8D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97F8D">
        <w:rPr>
          <w:rFonts w:ascii="Times New Roman" w:hAnsi="Times New Roman" w:cs="Times New Roman"/>
          <w:bCs/>
          <w:sz w:val="24"/>
          <w:szCs w:val="24"/>
        </w:rPr>
        <w:t>• Izvještaj o obvezama na Obrascu OBVEZE</w:t>
      </w:r>
    </w:p>
    <w:p w14:paraId="53D0978A" w14:textId="426212B2" w:rsidR="00497F8D" w:rsidRDefault="00497F8D" w:rsidP="00497F8D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97F8D">
        <w:rPr>
          <w:rFonts w:ascii="Times New Roman" w:hAnsi="Times New Roman" w:cs="Times New Roman"/>
          <w:bCs/>
          <w:sz w:val="24"/>
          <w:szCs w:val="24"/>
        </w:rPr>
        <w:t>• Bilješke uz financijske izvještaje.</w:t>
      </w:r>
    </w:p>
    <w:p w14:paraId="6A0A40D7" w14:textId="77777777" w:rsidR="00497F8D" w:rsidRDefault="00497F8D" w:rsidP="001E222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86A97" w14:textId="7D0480EF" w:rsidR="001E2226" w:rsidRPr="001E2226" w:rsidRDefault="001E2226" w:rsidP="001E222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Obrasci su popunjeni u Registru proračunskih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226">
        <w:rPr>
          <w:rFonts w:ascii="Times New Roman" w:hAnsi="Times New Roman" w:cs="Times New Roman"/>
          <w:bCs/>
          <w:sz w:val="24"/>
          <w:szCs w:val="24"/>
        </w:rPr>
        <w:t>izvanproračunskih korisnika na obrascima dostupnim u istom.</w:t>
      </w:r>
    </w:p>
    <w:p w14:paraId="5CF76AFC" w14:textId="36B25603" w:rsidR="001E2226" w:rsidRDefault="001E2226" w:rsidP="001E222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 xml:space="preserve">Osoba odgovorna za sastavljanje financijskih izvještaja jest voditeljica računovodstva </w:t>
      </w:r>
      <w:r>
        <w:rPr>
          <w:rFonts w:ascii="Times New Roman" w:hAnsi="Times New Roman" w:cs="Times New Roman"/>
          <w:bCs/>
          <w:sz w:val="24"/>
          <w:szCs w:val="24"/>
        </w:rPr>
        <w:t xml:space="preserve">Nikolina Majsec,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E2226">
        <w:rPr>
          <w:rFonts w:ascii="Times New Roman" w:hAnsi="Times New Roman" w:cs="Times New Roman"/>
          <w:bCs/>
          <w:sz w:val="24"/>
          <w:szCs w:val="24"/>
        </w:rPr>
        <w:t>, a osob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E2226">
        <w:rPr>
          <w:rFonts w:ascii="Times New Roman" w:hAnsi="Times New Roman" w:cs="Times New Roman"/>
          <w:bCs/>
          <w:sz w:val="24"/>
          <w:szCs w:val="24"/>
        </w:rPr>
        <w:t>odgovorna za predaju financijskih izvještaja jest ravnatelj</w:t>
      </w:r>
      <w:r>
        <w:rPr>
          <w:rFonts w:ascii="Times New Roman" w:hAnsi="Times New Roman" w:cs="Times New Roman"/>
          <w:bCs/>
          <w:sz w:val="24"/>
          <w:szCs w:val="24"/>
        </w:rPr>
        <w:t xml:space="preserve">ica Martina Jakuš,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mag.praesc.educ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1928F1" w14:textId="77777777" w:rsidR="001E2226" w:rsidRDefault="001E2226" w:rsidP="001E222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9E47CC" w14:textId="77777777" w:rsidR="00A44F20" w:rsidRPr="001E2226" w:rsidRDefault="00A44F20" w:rsidP="001E222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2F3A82" w14:textId="609C584E" w:rsidR="00A44F20" w:rsidRDefault="00A44F20" w:rsidP="00A44F20">
      <w:pPr>
        <w:pStyle w:val="Tijeloteksta"/>
        <w:ind w:left="0" w:firstLine="72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</w:t>
      </w:r>
      <w:r w:rsidRPr="006C0D1F">
        <w:rPr>
          <w:rFonts w:ascii="Times New Roman" w:hAnsi="Times New Roman" w:cs="Times New Roman"/>
          <w:sz w:val="24"/>
          <w:szCs w:val="24"/>
        </w:rPr>
        <w:t>Financijsk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6C0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izvještaj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obuhvaćaju</w:t>
      </w:r>
      <w:r>
        <w:rPr>
          <w:rFonts w:ascii="Times New Roman" w:hAnsi="Times New Roman" w:cs="Times New Roman"/>
          <w:spacing w:val="40"/>
          <w:sz w:val="24"/>
          <w:szCs w:val="24"/>
        </w:rPr>
        <w:t>:</w:t>
      </w:r>
    </w:p>
    <w:p w14:paraId="0C574ECB" w14:textId="77777777" w:rsidR="00A44F20" w:rsidRDefault="00A44F20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5D69E9" w14:textId="77777777" w:rsidR="001558EB" w:rsidRPr="001E2226" w:rsidRDefault="001558EB" w:rsidP="001558EB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• Bilješka uz obrazac PR-RAS</w:t>
      </w:r>
    </w:p>
    <w:p w14:paraId="1AD036B1" w14:textId="46092DCF" w:rsidR="001E2226" w:rsidRPr="001E2226" w:rsidRDefault="001E2226" w:rsidP="00A44F20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• Bilješke uz obrazac BILANCA</w:t>
      </w:r>
    </w:p>
    <w:p w14:paraId="5BD0EC99" w14:textId="77777777" w:rsidR="001E2226" w:rsidRPr="001E2226" w:rsidRDefault="001E2226" w:rsidP="00A44F20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• Bilješka uz obrazac RAS – funkcijski</w:t>
      </w:r>
    </w:p>
    <w:p w14:paraId="79119F97" w14:textId="77777777" w:rsidR="001E2226" w:rsidRPr="001E2226" w:rsidRDefault="001E2226" w:rsidP="00A44F20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• Bilješka uz obrazac P-VRIO</w:t>
      </w:r>
    </w:p>
    <w:p w14:paraId="34246748" w14:textId="77777777" w:rsidR="001E2226" w:rsidRDefault="001E2226" w:rsidP="00A44F20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• Bilješka uz obrazac OBVEZE</w:t>
      </w:r>
    </w:p>
    <w:p w14:paraId="46176EE7" w14:textId="77777777" w:rsidR="00A44F20" w:rsidRDefault="00A44F20" w:rsidP="00A44F20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5B14C1" w14:textId="07383E42" w:rsidR="00A44F20" w:rsidRPr="006C0D1F" w:rsidRDefault="00A44F20" w:rsidP="00A44F20">
      <w:pPr>
        <w:pStyle w:val="Tijeloteksta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 w:rsidRPr="006C0D1F">
        <w:rPr>
          <w:rFonts w:ascii="Times New Roman" w:hAnsi="Times New Roman" w:cs="Times New Roman"/>
          <w:sz w:val="24"/>
          <w:szCs w:val="24"/>
        </w:rPr>
        <w:t>Bilješke su opisne, brojčane ili kombinirane i njima se obrazlažu pregledi prihoda i rashoda, primitaka</w:t>
      </w:r>
      <w:r w:rsidRPr="006C0D1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i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izdataka.</w:t>
      </w:r>
    </w:p>
    <w:p w14:paraId="20312E6E" w14:textId="77777777" w:rsidR="00B06E18" w:rsidRDefault="00B06E18" w:rsidP="001558EB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0C808" w14:textId="77777777" w:rsidR="00B929A9" w:rsidRDefault="00B929A9" w:rsidP="001558EB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721B40" w14:textId="28774824" w:rsidR="00B06E18" w:rsidRPr="00B06E18" w:rsidRDefault="00B06E18" w:rsidP="00B06E18">
      <w:pPr>
        <w:pStyle w:val="Tijelotek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E18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 primicima i izdacima – Obrazac PR-RAS</w:t>
      </w:r>
    </w:p>
    <w:p w14:paraId="03C3BC57" w14:textId="77777777" w:rsidR="00B06E18" w:rsidRDefault="00B06E18" w:rsidP="00B06E18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8FD8B" w14:textId="77777777" w:rsidR="006E5A29" w:rsidRDefault="006E5A29" w:rsidP="00B06E18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981BB" w14:textId="30B9F59B" w:rsidR="00B06E18" w:rsidRDefault="00B06E18" w:rsidP="00B06E18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E18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E404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06E18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31 - Rashodi za zaposlene</w:t>
      </w:r>
    </w:p>
    <w:p w14:paraId="13B04AAA" w14:textId="77777777" w:rsidR="00B06E18" w:rsidRDefault="00B06E18" w:rsidP="00B06E18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0B811A" w14:textId="441B1C8F" w:rsidR="00B06E18" w:rsidRDefault="00B06E18" w:rsidP="00B06E18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7E4">
        <w:rPr>
          <w:rFonts w:ascii="Times New Roman" w:hAnsi="Times New Roman" w:cs="Times New Roman"/>
          <w:bCs/>
          <w:sz w:val="24"/>
          <w:szCs w:val="24"/>
        </w:rPr>
        <w:t>Isječak iz financijskog izvještaja - Bilanca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2476B6" w14:textId="77777777" w:rsidR="006E5A29" w:rsidRDefault="006E5A29" w:rsidP="00B06E18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767"/>
        <w:gridCol w:w="2064"/>
        <w:gridCol w:w="1521"/>
        <w:gridCol w:w="1297"/>
        <w:gridCol w:w="1297"/>
        <w:gridCol w:w="850"/>
      </w:tblGrid>
      <w:tr w:rsidR="00FD6627" w:rsidRPr="00B06E18" w14:paraId="5858DAAB" w14:textId="77777777" w:rsidTr="007C77D9">
        <w:trPr>
          <w:trHeight w:val="9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3CF92BD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D3D1B4C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C4D2D1E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7C8B124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940725F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8705426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B06E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FD6627" w:rsidRPr="00B06E18" w14:paraId="0847D050" w14:textId="77777777" w:rsidTr="007C77D9">
        <w:trPr>
          <w:trHeight w:val="2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63C9BA0B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4CF335BA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2960F278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742AD87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407D5E8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5BA5F228" w14:textId="77777777" w:rsidR="00B06E18" w:rsidRPr="00B06E18" w:rsidRDefault="00B06E18" w:rsidP="00B06E1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567799" w:rsidRPr="00567799" w14:paraId="76A514B6" w14:textId="77777777" w:rsidTr="007C77D9">
        <w:trPr>
          <w:trHeight w:val="255"/>
        </w:trPr>
        <w:tc>
          <w:tcPr>
            <w:tcW w:w="69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9737E1" w14:textId="77777777" w:rsidR="00567799" w:rsidRPr="00567799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6779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0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47A9F2" w14:textId="77777777" w:rsidR="00567799" w:rsidRPr="00567799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6779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 (šifre 311+312+313)</w:t>
            </w:r>
          </w:p>
        </w:tc>
        <w:tc>
          <w:tcPr>
            <w:tcW w:w="15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4FA8D2" w14:textId="77777777" w:rsidR="00567799" w:rsidRPr="00567799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567799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B0C3617" w14:textId="77777777" w:rsidR="00567799" w:rsidRPr="00567799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677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431.286,88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E83D3DF" w14:textId="77777777" w:rsidR="00567799" w:rsidRPr="00567799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677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555.307,94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263B85F" w14:textId="77777777" w:rsidR="00567799" w:rsidRPr="00567799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779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128,8</w:t>
            </w:r>
          </w:p>
        </w:tc>
      </w:tr>
      <w:tr w:rsidR="00567799" w:rsidRPr="00567799" w14:paraId="74DA5C7A" w14:textId="77777777" w:rsidTr="007C77D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618823A" w14:textId="77777777" w:rsidR="00567799" w:rsidRPr="00567799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6779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48CB80" w14:textId="77777777" w:rsidR="00567799" w:rsidRPr="00567799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6779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Plaće (bruto) (šifre 3111 do 3114)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B3E4F0" w14:textId="77777777" w:rsidR="00567799" w:rsidRPr="00567799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567799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629331" w14:textId="77777777" w:rsidR="00567799" w:rsidRPr="00567799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677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352.491,02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B5AE00" w14:textId="77777777" w:rsidR="00567799" w:rsidRPr="00567799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5677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462.172,08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8E0D864" w14:textId="77777777" w:rsidR="00567799" w:rsidRPr="00567799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6779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131,1</w:t>
            </w:r>
          </w:p>
        </w:tc>
      </w:tr>
      <w:tr w:rsidR="00567799" w:rsidRPr="00FD6627" w14:paraId="1CA45BF4" w14:textId="77777777" w:rsidTr="007C77D9">
        <w:trPr>
          <w:trHeight w:val="255"/>
        </w:trPr>
        <w:tc>
          <w:tcPr>
            <w:tcW w:w="69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4511B0" w14:textId="3A481D53" w:rsidR="00567799" w:rsidRPr="00FD6627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0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C4716A" w14:textId="562C385C" w:rsidR="00567799" w:rsidRPr="00FD6627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3FDF99" w14:textId="7FC676D5" w:rsidR="00567799" w:rsidRPr="00FD6627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312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71E698" w14:textId="08A01B5C" w:rsidR="00567799" w:rsidRPr="00FD6627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21.367,37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3A83247" w14:textId="0278759C" w:rsidR="00567799" w:rsidRPr="00FD6627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69DBE8F" w14:textId="79578FC9" w:rsidR="00567799" w:rsidRPr="00FD6627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92,2</w:t>
            </w:r>
          </w:p>
        </w:tc>
      </w:tr>
      <w:tr w:rsidR="00567799" w:rsidRPr="00FD6627" w14:paraId="51C2870A" w14:textId="77777777" w:rsidTr="007C77D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FF9121" w14:textId="7CCE3950" w:rsidR="00567799" w:rsidRPr="00FD6627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26F7C46" w14:textId="6E84C357" w:rsidR="00567799" w:rsidRPr="00FD6627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na plaće (šifre 3131 do 3133)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FF68BC" w14:textId="1695E942" w:rsidR="00567799" w:rsidRPr="00FD6627" w:rsidRDefault="00567799" w:rsidP="0056779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61F64D" w14:textId="0F55DEB5" w:rsidR="00567799" w:rsidRPr="00FD6627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57.428,49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32A111" w14:textId="75FF3DC5" w:rsidR="00567799" w:rsidRPr="00FD6627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73.435,86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59F2BF" w14:textId="628E0484" w:rsidR="00567799" w:rsidRPr="00FD6627" w:rsidRDefault="00567799" w:rsidP="0056779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127,9</w:t>
            </w:r>
          </w:p>
        </w:tc>
      </w:tr>
    </w:tbl>
    <w:p w14:paraId="12D9CAF7" w14:textId="77777777" w:rsidR="00D17B0D" w:rsidRDefault="00D17B0D" w:rsidP="00D17B0D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53AA3D" w14:textId="5AD263E4" w:rsidR="00D17B0D" w:rsidRPr="00D17B0D" w:rsidRDefault="00D17B0D" w:rsidP="00D17B0D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 xml:space="preserve">Šifra 311 Plaće bruto – ostvarene su </w:t>
      </w:r>
      <w:r w:rsidR="00AF54DD">
        <w:rPr>
          <w:rFonts w:ascii="Times New Roman" w:hAnsi="Times New Roman" w:cs="Times New Roman"/>
          <w:bCs/>
          <w:sz w:val="24"/>
          <w:szCs w:val="24"/>
        </w:rPr>
        <w:t>32,10</w:t>
      </w:r>
      <w:r w:rsidRPr="00D17B0D">
        <w:rPr>
          <w:rFonts w:ascii="Times New Roman" w:hAnsi="Times New Roman" w:cs="Times New Roman"/>
          <w:bCs/>
          <w:sz w:val="24"/>
          <w:szCs w:val="24"/>
        </w:rPr>
        <w:t>% više u odnosu na prethodnu godinu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7B0D">
        <w:rPr>
          <w:rFonts w:ascii="Times New Roman" w:hAnsi="Times New Roman" w:cs="Times New Roman"/>
          <w:bCs/>
          <w:sz w:val="24"/>
          <w:szCs w:val="24"/>
        </w:rPr>
        <w:t>zbog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7B0D">
        <w:rPr>
          <w:rFonts w:ascii="Times New Roman" w:hAnsi="Times New Roman" w:cs="Times New Roman"/>
          <w:bCs/>
          <w:sz w:val="24"/>
          <w:szCs w:val="24"/>
        </w:rPr>
        <w:t xml:space="preserve">povećanja osnovice i </w:t>
      </w:r>
      <w:r w:rsidR="00567799">
        <w:rPr>
          <w:rFonts w:ascii="Times New Roman" w:hAnsi="Times New Roman" w:cs="Times New Roman"/>
          <w:bCs/>
          <w:sz w:val="24"/>
          <w:szCs w:val="24"/>
        </w:rPr>
        <w:t xml:space="preserve">donošenja nove </w:t>
      </w:r>
      <w:r w:rsidR="00AF54DD">
        <w:rPr>
          <w:rFonts w:ascii="Times New Roman" w:hAnsi="Times New Roman" w:cs="Times New Roman"/>
          <w:bCs/>
          <w:sz w:val="24"/>
          <w:szCs w:val="24"/>
        </w:rPr>
        <w:t>U</w:t>
      </w:r>
      <w:r w:rsidR="00567799">
        <w:rPr>
          <w:rFonts w:ascii="Times New Roman" w:hAnsi="Times New Roman" w:cs="Times New Roman"/>
          <w:bCs/>
          <w:sz w:val="24"/>
          <w:szCs w:val="24"/>
        </w:rPr>
        <w:t xml:space="preserve">redbe </w:t>
      </w:r>
      <w:r w:rsidR="00AF54DD">
        <w:rPr>
          <w:rFonts w:ascii="Times New Roman" w:hAnsi="Times New Roman" w:cs="Times New Roman"/>
          <w:bCs/>
          <w:sz w:val="24"/>
          <w:szCs w:val="24"/>
        </w:rPr>
        <w:t>o nazivima radnih mjesta i</w:t>
      </w:r>
      <w:r w:rsidR="00567799">
        <w:rPr>
          <w:rFonts w:ascii="Times New Roman" w:hAnsi="Times New Roman" w:cs="Times New Roman"/>
          <w:bCs/>
          <w:sz w:val="24"/>
          <w:szCs w:val="24"/>
        </w:rPr>
        <w:t xml:space="preserve"> koeficijentima </w:t>
      </w:r>
      <w:r w:rsidR="00AF54DD">
        <w:rPr>
          <w:rFonts w:ascii="Times New Roman" w:hAnsi="Times New Roman" w:cs="Times New Roman"/>
          <w:bCs/>
          <w:sz w:val="24"/>
          <w:szCs w:val="24"/>
        </w:rPr>
        <w:t xml:space="preserve">složenosti poslova </w:t>
      </w:r>
      <w:r w:rsidR="00567799">
        <w:rPr>
          <w:rFonts w:ascii="Times New Roman" w:hAnsi="Times New Roman" w:cs="Times New Roman"/>
          <w:bCs/>
          <w:sz w:val="24"/>
          <w:szCs w:val="24"/>
        </w:rPr>
        <w:t>u javnim službama</w:t>
      </w:r>
      <w:r w:rsidRPr="00D17B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3F8C37" w14:textId="30E677E5" w:rsidR="00D17B0D" w:rsidRPr="00D17B0D" w:rsidRDefault="00D17B0D" w:rsidP="00D17B0D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Šifra 312 Ostali rashodi za zaposlene – ostvareni su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12A">
        <w:rPr>
          <w:rFonts w:ascii="Times New Roman" w:hAnsi="Times New Roman" w:cs="Times New Roman"/>
          <w:bCs/>
          <w:sz w:val="24"/>
          <w:szCs w:val="24"/>
        </w:rPr>
        <w:t>7,8</w:t>
      </w:r>
      <w:r w:rsidRPr="00D17B0D">
        <w:rPr>
          <w:rFonts w:ascii="Times New Roman" w:hAnsi="Times New Roman" w:cs="Times New Roman"/>
          <w:bCs/>
          <w:sz w:val="24"/>
          <w:szCs w:val="24"/>
        </w:rPr>
        <w:t>%</w:t>
      </w:r>
      <w:r w:rsidR="00C45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4DD">
        <w:rPr>
          <w:rFonts w:ascii="Times New Roman" w:hAnsi="Times New Roman" w:cs="Times New Roman"/>
          <w:bCs/>
          <w:sz w:val="24"/>
          <w:szCs w:val="24"/>
        </w:rPr>
        <w:t xml:space="preserve">manje </w:t>
      </w:r>
      <w:r w:rsidRPr="00D17B0D">
        <w:rPr>
          <w:rFonts w:ascii="Times New Roman" w:hAnsi="Times New Roman" w:cs="Times New Roman"/>
          <w:bCs/>
          <w:sz w:val="24"/>
          <w:szCs w:val="24"/>
        </w:rPr>
        <w:t>u odnosu na prethodnu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7B0D">
        <w:rPr>
          <w:rFonts w:ascii="Times New Roman" w:hAnsi="Times New Roman" w:cs="Times New Roman"/>
          <w:bCs/>
          <w:sz w:val="24"/>
          <w:szCs w:val="24"/>
        </w:rPr>
        <w:t>godinu, a rezultat su</w:t>
      </w:r>
      <w:r w:rsidR="00AF54DD">
        <w:rPr>
          <w:rFonts w:ascii="Times New Roman" w:hAnsi="Times New Roman" w:cs="Times New Roman"/>
          <w:bCs/>
          <w:sz w:val="24"/>
          <w:szCs w:val="24"/>
        </w:rPr>
        <w:t xml:space="preserve"> manje</w:t>
      </w:r>
      <w:r w:rsidRPr="00D17B0D">
        <w:rPr>
          <w:rFonts w:ascii="Times New Roman" w:hAnsi="Times New Roman" w:cs="Times New Roman"/>
          <w:bCs/>
          <w:sz w:val="24"/>
          <w:szCs w:val="24"/>
        </w:rPr>
        <w:t xml:space="preserve"> isplaćenih prava iz Kolektivnog ugovora – Jubilarnih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7B0D">
        <w:rPr>
          <w:rFonts w:ascii="Times New Roman" w:hAnsi="Times New Roman" w:cs="Times New Roman"/>
          <w:bCs/>
          <w:sz w:val="24"/>
          <w:szCs w:val="24"/>
        </w:rPr>
        <w:t>nagrada</w:t>
      </w:r>
      <w:r w:rsidR="00AF54DD">
        <w:rPr>
          <w:rFonts w:ascii="Times New Roman" w:hAnsi="Times New Roman" w:cs="Times New Roman"/>
          <w:bCs/>
          <w:sz w:val="24"/>
          <w:szCs w:val="24"/>
        </w:rPr>
        <w:t xml:space="preserve"> i p</w:t>
      </w:r>
      <w:r w:rsidRPr="00D17B0D">
        <w:rPr>
          <w:rFonts w:ascii="Times New Roman" w:hAnsi="Times New Roman" w:cs="Times New Roman"/>
          <w:bCs/>
          <w:sz w:val="24"/>
          <w:szCs w:val="24"/>
        </w:rPr>
        <w:t>omoći</w:t>
      </w:r>
      <w:r w:rsidR="00CE01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251A72" w14:textId="09BD5131" w:rsidR="00024235" w:rsidRDefault="00D17B0D" w:rsidP="00FE615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 xml:space="preserve">Šifra 313 Doprinosi na plaće – ostvareni su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67799">
        <w:rPr>
          <w:rFonts w:ascii="Times New Roman" w:hAnsi="Times New Roman" w:cs="Times New Roman"/>
          <w:bCs/>
          <w:sz w:val="24"/>
          <w:szCs w:val="24"/>
        </w:rPr>
        <w:t>7</w:t>
      </w:r>
      <w:r w:rsidRPr="00D17B0D">
        <w:rPr>
          <w:rFonts w:ascii="Times New Roman" w:hAnsi="Times New Roman" w:cs="Times New Roman"/>
          <w:bCs/>
          <w:sz w:val="24"/>
          <w:szCs w:val="24"/>
        </w:rPr>
        <w:t>,</w:t>
      </w:r>
      <w:r w:rsidR="0056779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D17B0D">
        <w:rPr>
          <w:rFonts w:ascii="Times New Roman" w:hAnsi="Times New Roman" w:cs="Times New Roman"/>
          <w:bCs/>
          <w:sz w:val="24"/>
          <w:szCs w:val="24"/>
        </w:rPr>
        <w:t>% više nego prošle godine, a isplaćeni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0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su </w:t>
      </w:r>
      <w:r w:rsidRPr="00D17B0D">
        <w:rPr>
          <w:rFonts w:ascii="Times New Roman" w:hAnsi="Times New Roman" w:cs="Times New Roman"/>
          <w:bCs/>
          <w:sz w:val="24"/>
          <w:szCs w:val="24"/>
        </w:rPr>
        <w:t>sukladno trenutnim važećim zakonskim propisima.</w:t>
      </w:r>
    </w:p>
    <w:p w14:paraId="68AAA5D4" w14:textId="77777777" w:rsidR="006E5A29" w:rsidRDefault="006E5A29" w:rsidP="00FE615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80EC45" w14:textId="77777777" w:rsidR="006E5A29" w:rsidRDefault="006E5A29" w:rsidP="00FE6156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B89D8" w14:textId="34D8EFF6" w:rsidR="00024235" w:rsidRDefault="00024235" w:rsidP="00E40423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235">
        <w:rPr>
          <w:rFonts w:ascii="Times New Roman" w:hAnsi="Times New Roman" w:cs="Times New Roman"/>
          <w:b/>
          <w:sz w:val="24"/>
          <w:szCs w:val="24"/>
          <w:u w:val="single"/>
        </w:rPr>
        <w:t>Bilješka broj 2 uz šifru 321 – Naknade troškova zaposlenima</w:t>
      </w:r>
    </w:p>
    <w:p w14:paraId="561A7928" w14:textId="77777777" w:rsidR="00024235" w:rsidRDefault="00024235" w:rsidP="00E40423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7AF2F7" w14:textId="77777777" w:rsidR="00024235" w:rsidRDefault="00024235" w:rsidP="00024235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17B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E72B27" w14:textId="77777777" w:rsidR="006E5A29" w:rsidRDefault="006E5A29" w:rsidP="00024235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767"/>
        <w:gridCol w:w="2069"/>
        <w:gridCol w:w="1405"/>
        <w:gridCol w:w="1405"/>
        <w:gridCol w:w="12"/>
        <w:gridCol w:w="1297"/>
        <w:gridCol w:w="841"/>
      </w:tblGrid>
      <w:tr w:rsidR="00024235" w:rsidRPr="00D17B0D" w14:paraId="7174AA8E" w14:textId="77777777" w:rsidTr="003241D9">
        <w:trPr>
          <w:trHeight w:val="9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60655E5" w14:textId="77777777" w:rsidR="00024235" w:rsidRPr="00D17B0D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C1A2A00" w14:textId="77777777" w:rsidR="00024235" w:rsidRPr="00D17B0D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42CA2CEC" w14:textId="77777777" w:rsidR="00024235" w:rsidRPr="00D17B0D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12A3B5D" w14:textId="77777777" w:rsidR="00024235" w:rsidRPr="00D17B0D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2C3452A0" w14:textId="77777777" w:rsidR="00024235" w:rsidRPr="00D17B0D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5296EB" w14:textId="77777777" w:rsidR="00024235" w:rsidRPr="00D17B0D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024235" w:rsidRPr="00B06E18" w14:paraId="2F7166AD" w14:textId="77777777" w:rsidTr="003241D9">
        <w:trPr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23C00D16" w14:textId="77777777" w:rsidR="00024235" w:rsidRPr="00B06E18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19C2D671" w14:textId="77777777" w:rsidR="00024235" w:rsidRPr="00B06E18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62A97189" w14:textId="77777777" w:rsidR="00024235" w:rsidRPr="00B06E18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9756F5C" w14:textId="77777777" w:rsidR="00024235" w:rsidRPr="00B06E18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93DE70D" w14:textId="77777777" w:rsidR="00024235" w:rsidRPr="00B06E18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6D5B443" w14:textId="77777777" w:rsidR="00024235" w:rsidRPr="00B06E18" w:rsidRDefault="00024235" w:rsidP="003241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024235" w:rsidRPr="00D17B0D" w14:paraId="7E6D36E1" w14:textId="77777777" w:rsidTr="003241D9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7CC9C0" w14:textId="524AB89B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20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54887E" w14:textId="61E19161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40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8051707" w14:textId="1777AE72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3211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51256F" w14:textId="7EB8F8FC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829,19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15EE83" w14:textId="1907E74B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1.576,00</w:t>
            </w:r>
          </w:p>
        </w:tc>
        <w:tc>
          <w:tcPr>
            <w:tcW w:w="8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E6BF39A" w14:textId="594516D5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190,1</w:t>
            </w:r>
          </w:p>
        </w:tc>
      </w:tr>
      <w:tr w:rsidR="00024235" w:rsidRPr="00D17B0D" w14:paraId="4832F8A1" w14:textId="77777777" w:rsidTr="00D638D2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DF5112" w14:textId="215DF52A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35F8C8" w14:textId="22C20EEC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995D0F1" w14:textId="212858BF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37DA7E9" w14:textId="159FEAD9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18.166,93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69F60DF" w14:textId="519C9511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19.536,96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B5432F0" w14:textId="1516EF76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107,5</w:t>
            </w:r>
          </w:p>
        </w:tc>
      </w:tr>
      <w:tr w:rsidR="00024235" w:rsidRPr="00D17B0D" w14:paraId="42205084" w14:textId="77777777" w:rsidTr="00D638D2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79115A" w14:textId="45668B2D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9B93DE" w14:textId="415758F0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84943F" w14:textId="2A95B7A6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38249B" w14:textId="11D120B4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DE1217A" w14:textId="1EBAE945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0CE36FD" w14:textId="56741A21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125,1</w:t>
            </w:r>
          </w:p>
        </w:tc>
      </w:tr>
      <w:tr w:rsidR="00024235" w:rsidRPr="00D17B0D" w14:paraId="7B4DED35" w14:textId="77777777" w:rsidTr="00D638D2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CBDB22A" w14:textId="145071FB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68E9C5" w14:textId="1D58463D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DD15CB" w14:textId="1F715619" w:rsidR="00024235" w:rsidRPr="00D17B0D" w:rsidRDefault="00024235" w:rsidP="0002423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99BD73" w14:textId="6856E60C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05C129" w14:textId="500C9566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7D040AD" w14:textId="6F69C477" w:rsidR="00024235" w:rsidRPr="00D17B0D" w:rsidRDefault="00024235" w:rsidP="0002423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228,6</w:t>
            </w:r>
          </w:p>
        </w:tc>
      </w:tr>
    </w:tbl>
    <w:p w14:paraId="6EF16AF3" w14:textId="77777777" w:rsidR="00024235" w:rsidRDefault="00024235" w:rsidP="00024235">
      <w:pPr>
        <w:pStyle w:val="Tijeloteksta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13B0AE" w14:textId="565B9B49" w:rsidR="00024235" w:rsidRDefault="001B0E50" w:rsidP="00E4042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E50">
        <w:rPr>
          <w:rFonts w:ascii="Times New Roman" w:hAnsi="Times New Roman" w:cs="Times New Roman"/>
          <w:bCs/>
          <w:sz w:val="24"/>
          <w:szCs w:val="24"/>
        </w:rPr>
        <w:t>Šifra 3211 – službena putovanja – zbog većeg broja službenih putovanja uslijed edukacija indeks u 2024. iznosi 90,1% više u odnosu na 2023. godinu</w:t>
      </w:r>
    </w:p>
    <w:p w14:paraId="6FA89486" w14:textId="720C9280" w:rsidR="00F5693A" w:rsidRDefault="00F5693A" w:rsidP="00E4042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3212 – Naknade za prijevoz, za rad na terenu i odvojeni život – ostvaren je indeks od 7,5% više u odnosu na 2023. godinu, a razlog je veći broj zaposlenika koji ostvaruju pravo na </w:t>
      </w:r>
      <w:r w:rsidR="007C77D9">
        <w:rPr>
          <w:rFonts w:ascii="Times New Roman" w:hAnsi="Times New Roman" w:cs="Times New Roman"/>
          <w:bCs/>
          <w:sz w:val="24"/>
          <w:szCs w:val="24"/>
        </w:rPr>
        <w:t xml:space="preserve">naknadu </w:t>
      </w:r>
      <w:r>
        <w:rPr>
          <w:rFonts w:ascii="Times New Roman" w:hAnsi="Times New Roman" w:cs="Times New Roman"/>
          <w:bCs/>
          <w:sz w:val="24"/>
          <w:szCs w:val="24"/>
        </w:rPr>
        <w:t>prijevoz</w:t>
      </w:r>
      <w:r w:rsidR="007C77D9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posao i s posla.</w:t>
      </w:r>
    </w:p>
    <w:p w14:paraId="57B1B58E" w14:textId="59763C16" w:rsidR="00F5693A" w:rsidRDefault="00F5693A" w:rsidP="00E4042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3213 – Stručno usavršavanje zaposlenika – u 2024. godini velik broj djelatnika sudjelovao je na različitim edukacijama za koje je bilo potrebno platiti kotizaciju pa je i indeks ostvarenja u 2024. godini veći za 25,1% u odnosu na prethodnu godinu.</w:t>
      </w:r>
    </w:p>
    <w:p w14:paraId="242D2D15" w14:textId="09ABE448" w:rsidR="00F5693A" w:rsidRPr="001B0E50" w:rsidRDefault="00F5693A" w:rsidP="00E4042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3214 – Ostale naknade troškova zaposlenima </w:t>
      </w:r>
      <w:r w:rsidR="00724D6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D65">
        <w:rPr>
          <w:rFonts w:ascii="Times New Roman" w:hAnsi="Times New Roman" w:cs="Times New Roman"/>
          <w:bCs/>
          <w:sz w:val="24"/>
          <w:szCs w:val="24"/>
        </w:rPr>
        <w:t>zbog povećanih potreba za nabavkom materijala za nesmetano odvijanje odgojno-obrazovnog rada u Vrtiću povećani su troškovi za korištenje osobnog automobila u službene svrhe pa je tako ostvareni indeks veći za 128,6% u odnosu na prethodnu godinu.</w:t>
      </w:r>
    </w:p>
    <w:p w14:paraId="2F4AC9FA" w14:textId="77777777" w:rsidR="00024235" w:rsidRPr="00024235" w:rsidRDefault="00024235" w:rsidP="00E40423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284334" w14:textId="77777777" w:rsidR="00AF54DD" w:rsidRDefault="00AF54DD" w:rsidP="00E4042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FC42" w14:textId="0BE7159F" w:rsidR="00D17B0D" w:rsidRDefault="00D17B0D" w:rsidP="00D17B0D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0D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17B0D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32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17B0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Rashodi 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materijal i energiju</w:t>
      </w:r>
    </w:p>
    <w:p w14:paraId="3F0C9476" w14:textId="77777777" w:rsidR="00D17B0D" w:rsidRDefault="00D17B0D" w:rsidP="00D17B0D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3A591C" w14:textId="62CA6624" w:rsidR="00D17B0D" w:rsidRDefault="00D17B0D" w:rsidP="00FE6156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 w:rsidRPr="00D17B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63C150" w14:textId="77777777" w:rsidR="006E5A29" w:rsidRDefault="006E5A29" w:rsidP="00FE6156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767"/>
        <w:gridCol w:w="2069"/>
        <w:gridCol w:w="1405"/>
        <w:gridCol w:w="1405"/>
        <w:gridCol w:w="12"/>
        <w:gridCol w:w="1297"/>
        <w:gridCol w:w="841"/>
      </w:tblGrid>
      <w:tr w:rsidR="00D17B0D" w:rsidRPr="00D17B0D" w14:paraId="30C69344" w14:textId="77777777" w:rsidTr="00484D31">
        <w:trPr>
          <w:trHeight w:val="9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337A4910" w14:textId="77777777" w:rsidR="00D17B0D" w:rsidRPr="00D17B0D" w:rsidRDefault="00D17B0D" w:rsidP="00D17B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551C83F" w14:textId="77777777" w:rsidR="00D17B0D" w:rsidRPr="00D17B0D" w:rsidRDefault="00D17B0D" w:rsidP="00D17B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5D7C0621" w14:textId="77777777" w:rsidR="00D17B0D" w:rsidRPr="00D17B0D" w:rsidRDefault="00D17B0D" w:rsidP="00D17B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A0419E5" w14:textId="77777777" w:rsidR="00D17B0D" w:rsidRPr="00D17B0D" w:rsidRDefault="00D17B0D" w:rsidP="00D17B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0A625457" w14:textId="77777777" w:rsidR="00D17B0D" w:rsidRPr="00D17B0D" w:rsidRDefault="00D17B0D" w:rsidP="00D17B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94A41AD" w14:textId="77777777" w:rsidR="00D17B0D" w:rsidRPr="00D17B0D" w:rsidRDefault="00D17B0D" w:rsidP="00D17B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D17B0D" w:rsidRPr="00B06E18" w14:paraId="01154F2B" w14:textId="77777777" w:rsidTr="00D17B0D">
        <w:trPr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6FC551AB" w14:textId="77777777" w:rsidR="00D17B0D" w:rsidRPr="00B06E18" w:rsidRDefault="00D17B0D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7FDB0CB8" w14:textId="77777777" w:rsidR="00D17B0D" w:rsidRPr="00B06E18" w:rsidRDefault="00D17B0D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1183FBF0" w14:textId="77777777" w:rsidR="00D17B0D" w:rsidRPr="00B06E18" w:rsidRDefault="00D17B0D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F64DADE" w14:textId="77777777" w:rsidR="00D17B0D" w:rsidRPr="00B06E18" w:rsidRDefault="00D17B0D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B2D1E5D" w14:textId="77777777" w:rsidR="00D17B0D" w:rsidRPr="00B06E18" w:rsidRDefault="00D17B0D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7CF29399" w14:textId="77777777" w:rsidR="00D17B0D" w:rsidRPr="00B06E18" w:rsidRDefault="00D17B0D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9C2B1E" w:rsidRPr="00D17B0D" w14:paraId="7681DD76" w14:textId="77777777" w:rsidTr="00327C67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75EA59" w14:textId="0E6C50FF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0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AC34CC" w14:textId="081BBD0B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40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2722F21" w14:textId="6C7126E7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3221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86E799" w14:textId="11471A96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13.184,82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F6F8D8E" w14:textId="24E91C0D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18.036,41</w:t>
            </w:r>
          </w:p>
        </w:tc>
        <w:tc>
          <w:tcPr>
            <w:tcW w:w="8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966A8A" w14:textId="18F68F93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136,8</w:t>
            </w:r>
          </w:p>
        </w:tc>
      </w:tr>
      <w:tr w:rsidR="009C2B1E" w:rsidRPr="00D17B0D" w14:paraId="49FD44A9" w14:textId="77777777" w:rsidTr="004050B6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F19F3F2" w14:textId="34F3E740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20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B08353" w14:textId="45142F83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40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AADD17" w14:textId="7A2E40DB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3222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4F0C8AB" w14:textId="1CEC2600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38.449,03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44F3825" w14:textId="3BFEF1E0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40.641,81</w:t>
            </w:r>
          </w:p>
        </w:tc>
        <w:tc>
          <w:tcPr>
            <w:tcW w:w="8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E2985C2" w14:textId="01D4FD2E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</w:t>
            </w:r>
          </w:p>
        </w:tc>
      </w:tr>
      <w:tr w:rsidR="009C2B1E" w:rsidRPr="00D17B0D" w14:paraId="6D8376DF" w14:textId="77777777" w:rsidTr="005A51C2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43FD180" w14:textId="000FAE63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0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54E7A0" w14:textId="7D98D3F1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40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46D3F2" w14:textId="257861D3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3223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33DB744" w14:textId="3D5DFE46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14.495,76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1AC8910" w14:textId="7FAE67A6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15.053,24</w:t>
            </w:r>
          </w:p>
        </w:tc>
        <w:tc>
          <w:tcPr>
            <w:tcW w:w="8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3131116" w14:textId="6FDDA5D6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103,8</w:t>
            </w:r>
          </w:p>
        </w:tc>
      </w:tr>
      <w:tr w:rsidR="009C2B1E" w:rsidRPr="00D17B0D" w14:paraId="3B3E3EF2" w14:textId="77777777" w:rsidTr="007F51F0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7428D8" w14:textId="77370C25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0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E4FCC98" w14:textId="5F7C6605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40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68D32A" w14:textId="60926980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3224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E79B41E" w14:textId="79C7C45E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1.325,36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DFFD624" w14:textId="4D7A7F2F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835,63</w:t>
            </w:r>
          </w:p>
        </w:tc>
        <w:tc>
          <w:tcPr>
            <w:tcW w:w="8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C6E4A3" w14:textId="6D999200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63,0</w:t>
            </w:r>
          </w:p>
        </w:tc>
      </w:tr>
      <w:tr w:rsidR="009C2B1E" w:rsidRPr="00D17B0D" w14:paraId="1353FD68" w14:textId="77777777" w:rsidTr="007F51F0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E019BF6" w14:textId="392B3EA3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C9023B" w14:textId="12D77882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06797C9" w14:textId="27236E84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136A15C" w14:textId="40EDAFB2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2.884,04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D907C3" w14:textId="5E0E6611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2.718,83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C0B94AF" w14:textId="4E4B84C7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</w:t>
            </w:r>
          </w:p>
        </w:tc>
      </w:tr>
      <w:tr w:rsidR="009C2B1E" w:rsidRPr="00D17B0D" w14:paraId="72EACEBB" w14:textId="77777777" w:rsidTr="0058747A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37B236F" w14:textId="3751D630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20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60B3411" w14:textId="6FC79462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40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6D92260" w14:textId="17D25B85" w:rsidR="009C2B1E" w:rsidRPr="00D17B0D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3227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308B18B" w14:textId="3618B857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917,82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8FCDED" w14:textId="497B387D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1.286,99</w:t>
            </w:r>
          </w:p>
        </w:tc>
        <w:tc>
          <w:tcPr>
            <w:tcW w:w="8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DBF24A" w14:textId="15409EE5" w:rsidR="009C2B1E" w:rsidRPr="00D17B0D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140,2</w:t>
            </w:r>
          </w:p>
        </w:tc>
      </w:tr>
    </w:tbl>
    <w:p w14:paraId="063BA748" w14:textId="360C88AB" w:rsidR="00484D31" w:rsidRPr="006C0D1F" w:rsidRDefault="00484D31" w:rsidP="00484D31">
      <w:pPr>
        <w:pStyle w:val="Tijeloteksta"/>
        <w:spacing w:before="155" w:line="261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3221 - </w:t>
      </w:r>
      <w:r w:rsidRPr="006C0D1F">
        <w:rPr>
          <w:rFonts w:ascii="Times New Roman" w:hAnsi="Times New Roman" w:cs="Times New Roman"/>
          <w:sz w:val="24"/>
          <w:szCs w:val="24"/>
        </w:rPr>
        <w:t>uredski materijal i o</w:t>
      </w:r>
      <w:r>
        <w:rPr>
          <w:rFonts w:ascii="Times New Roman" w:hAnsi="Times New Roman" w:cs="Times New Roman"/>
          <w:sz w:val="24"/>
          <w:szCs w:val="24"/>
        </w:rPr>
        <w:t>stali materijalni rashodi iznosi 1</w:t>
      </w:r>
      <w:r w:rsidR="00724D65">
        <w:rPr>
          <w:rFonts w:ascii="Times New Roman" w:hAnsi="Times New Roman" w:cs="Times New Roman"/>
          <w:sz w:val="24"/>
          <w:szCs w:val="24"/>
        </w:rPr>
        <w:t>8.036,41</w:t>
      </w:r>
      <w:r>
        <w:rPr>
          <w:rFonts w:ascii="Times New Roman" w:hAnsi="Times New Roman" w:cs="Times New Roman"/>
          <w:sz w:val="24"/>
          <w:szCs w:val="24"/>
        </w:rPr>
        <w:t xml:space="preserve"> eura, a odnosi</w:t>
      </w:r>
      <w:r w:rsidRPr="006C0D1F">
        <w:rPr>
          <w:rFonts w:ascii="Times New Roman" w:hAnsi="Times New Roman" w:cs="Times New Roman"/>
          <w:sz w:val="24"/>
          <w:szCs w:val="24"/>
        </w:rPr>
        <w:t xml:space="preserve"> se na nabavu uredskog materijala, stručne literature, materijala i sredstva za čišćenje i održavanje, materijala za higijenske potrebe i njegu te ostalog materijala za potrebe redovnog poslovanja.</w:t>
      </w:r>
      <w:r>
        <w:rPr>
          <w:rFonts w:ascii="Times New Roman" w:hAnsi="Times New Roman" w:cs="Times New Roman"/>
          <w:sz w:val="24"/>
          <w:szCs w:val="24"/>
        </w:rPr>
        <w:t xml:space="preserve"> Ostvareno je </w:t>
      </w:r>
      <w:r w:rsidR="00AF54DD">
        <w:rPr>
          <w:rFonts w:ascii="Times New Roman" w:hAnsi="Times New Roman" w:cs="Times New Roman"/>
          <w:sz w:val="24"/>
          <w:szCs w:val="24"/>
        </w:rPr>
        <w:t>36,8</w:t>
      </w:r>
      <w:r>
        <w:rPr>
          <w:rFonts w:ascii="Times New Roman" w:hAnsi="Times New Roman" w:cs="Times New Roman"/>
          <w:sz w:val="24"/>
          <w:szCs w:val="24"/>
        </w:rPr>
        <w:t>% više u odnosu na prethodnu godinu, a sve uslijed povećanja cijena</w:t>
      </w:r>
      <w:r w:rsidR="00AF54DD">
        <w:rPr>
          <w:rFonts w:ascii="Times New Roman" w:hAnsi="Times New Roman" w:cs="Times New Roman"/>
          <w:sz w:val="24"/>
          <w:szCs w:val="24"/>
        </w:rPr>
        <w:t xml:space="preserve"> i većih potreba zbog otvaranja dodatne dvije odgojno-obrazovne skupine.</w:t>
      </w:r>
    </w:p>
    <w:p w14:paraId="7F5B6316" w14:textId="154AB977" w:rsidR="00B06E18" w:rsidRDefault="00484D31" w:rsidP="00B06E18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D31">
        <w:rPr>
          <w:rFonts w:ascii="Times New Roman" w:hAnsi="Times New Roman" w:cs="Times New Roman"/>
          <w:bCs/>
          <w:sz w:val="24"/>
          <w:szCs w:val="24"/>
        </w:rPr>
        <w:t>Šifra 3222 – materijal i sirovine ostvarene su za 5</w:t>
      </w:r>
      <w:r w:rsidR="00AF54DD">
        <w:rPr>
          <w:rFonts w:ascii="Times New Roman" w:hAnsi="Times New Roman" w:cs="Times New Roman"/>
          <w:bCs/>
          <w:sz w:val="24"/>
          <w:szCs w:val="24"/>
        </w:rPr>
        <w:t>,7</w:t>
      </w:r>
      <w:r w:rsidRPr="00484D31">
        <w:rPr>
          <w:rFonts w:ascii="Times New Roman" w:hAnsi="Times New Roman" w:cs="Times New Roman"/>
          <w:bCs/>
          <w:sz w:val="24"/>
          <w:szCs w:val="24"/>
        </w:rPr>
        <w:t>% više u odnosu na prethodnu godine zbog povećanja cijena sirovina i namirnica</w:t>
      </w:r>
      <w:r w:rsidR="00603F8A">
        <w:rPr>
          <w:rFonts w:ascii="Times New Roman" w:hAnsi="Times New Roman" w:cs="Times New Roman"/>
          <w:bCs/>
          <w:sz w:val="24"/>
          <w:szCs w:val="24"/>
        </w:rPr>
        <w:t xml:space="preserve"> te povećanih potreba uslijed otvorenja novih dviju skupina</w:t>
      </w:r>
      <w:r w:rsidRPr="00484D31">
        <w:rPr>
          <w:rFonts w:ascii="Times New Roman" w:hAnsi="Times New Roman" w:cs="Times New Roman"/>
          <w:bCs/>
          <w:sz w:val="24"/>
          <w:szCs w:val="24"/>
        </w:rPr>
        <w:t>, a odnose se na nabavu sirovina</w:t>
      </w:r>
      <w:r w:rsidR="00603F8A">
        <w:rPr>
          <w:rFonts w:ascii="Times New Roman" w:hAnsi="Times New Roman" w:cs="Times New Roman"/>
          <w:bCs/>
          <w:sz w:val="24"/>
          <w:szCs w:val="24"/>
        </w:rPr>
        <w:t xml:space="preserve"> i namirnica</w:t>
      </w:r>
      <w:r w:rsidRPr="00484D31">
        <w:rPr>
          <w:rFonts w:ascii="Times New Roman" w:hAnsi="Times New Roman" w:cs="Times New Roman"/>
          <w:bCs/>
          <w:sz w:val="24"/>
          <w:szCs w:val="24"/>
        </w:rPr>
        <w:t xml:space="preserve"> za dječju kuhinju.</w:t>
      </w:r>
    </w:p>
    <w:p w14:paraId="4F2D2F4D" w14:textId="443BAD14" w:rsidR="00484D31" w:rsidRDefault="00484D31" w:rsidP="00B06E18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3223 – Energija pokazuje </w:t>
      </w:r>
      <w:r w:rsidR="00603F8A">
        <w:rPr>
          <w:rFonts w:ascii="Times New Roman" w:hAnsi="Times New Roman" w:cs="Times New Roman"/>
          <w:bCs/>
          <w:sz w:val="24"/>
          <w:szCs w:val="24"/>
        </w:rPr>
        <w:t>povećanje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indeksa od </w:t>
      </w:r>
      <w:r w:rsidR="00603F8A">
        <w:rPr>
          <w:rFonts w:ascii="Times New Roman" w:hAnsi="Times New Roman" w:cs="Times New Roman"/>
          <w:bCs/>
          <w:sz w:val="24"/>
          <w:szCs w:val="24"/>
        </w:rPr>
        <w:t>3,8</w:t>
      </w:r>
      <w:r w:rsidR="00E51281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u odnosu na prethodnu godinu </w:t>
      </w:r>
      <w:r w:rsidR="00603F8A">
        <w:rPr>
          <w:rFonts w:ascii="Times New Roman" w:hAnsi="Times New Roman" w:cs="Times New Roman"/>
          <w:bCs/>
          <w:sz w:val="24"/>
          <w:szCs w:val="24"/>
        </w:rPr>
        <w:t>što je u okvirima potrošnje od prošle godine.</w:t>
      </w:r>
    </w:p>
    <w:p w14:paraId="7D8893E4" w14:textId="293433D4" w:rsidR="00603F8A" w:rsidRDefault="00603F8A" w:rsidP="00B06E18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3224 – Materijal i dijelovi za tekuće i investicijsko održavanje ostvareno je za 37,0% manje u odnosu na prethodnu godinu, a rez</w:t>
      </w:r>
      <w:r w:rsidR="00751D49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ltat je smanjene potrebe za sitnim popravcima n</w:t>
      </w:r>
      <w:r w:rsidR="00822E1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zgr</w:t>
      </w:r>
      <w:r w:rsidR="00822E1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di i opremi Vrtića.</w:t>
      </w:r>
    </w:p>
    <w:p w14:paraId="759B0B2F" w14:textId="1FAF8087" w:rsidR="00E51281" w:rsidRDefault="00E51281" w:rsidP="00B06E18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3225 Sitni inventar ostvaren je u iznosu od 2.</w:t>
      </w:r>
      <w:r w:rsidR="00822E1C">
        <w:rPr>
          <w:rFonts w:ascii="Times New Roman" w:hAnsi="Times New Roman" w:cs="Times New Roman"/>
          <w:bCs/>
          <w:sz w:val="24"/>
          <w:szCs w:val="24"/>
        </w:rPr>
        <w:t>718,83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što je za 5,</w:t>
      </w:r>
      <w:r w:rsidR="00822E1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822E1C">
        <w:rPr>
          <w:rFonts w:ascii="Times New Roman" w:hAnsi="Times New Roman" w:cs="Times New Roman"/>
          <w:bCs/>
          <w:sz w:val="24"/>
          <w:szCs w:val="24"/>
        </w:rPr>
        <w:t>manje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nego prethodne godine, a razlog je</w:t>
      </w:r>
      <w:r w:rsidR="00822E1C">
        <w:rPr>
          <w:rFonts w:ascii="Times New Roman" w:hAnsi="Times New Roman" w:cs="Times New Roman"/>
          <w:bCs/>
          <w:sz w:val="24"/>
          <w:szCs w:val="24"/>
        </w:rPr>
        <w:t xml:space="preserve"> smanjena potreba za nabavkom sitnog inventara.</w:t>
      </w:r>
    </w:p>
    <w:p w14:paraId="43D5B3DB" w14:textId="0AAD10C8" w:rsidR="00E51281" w:rsidRDefault="00E51281" w:rsidP="00B06E18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3227-službena radna i zaštitna odjeća i obuća iznosi </w:t>
      </w:r>
      <w:r w:rsidR="00822E1C">
        <w:rPr>
          <w:rFonts w:ascii="Times New Roman" w:hAnsi="Times New Roman" w:cs="Times New Roman"/>
          <w:bCs/>
          <w:sz w:val="24"/>
          <w:szCs w:val="24"/>
        </w:rPr>
        <w:t>1.286,99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što je za </w:t>
      </w:r>
      <w:r w:rsidR="00822E1C">
        <w:rPr>
          <w:rFonts w:ascii="Times New Roman" w:hAnsi="Times New Roman" w:cs="Times New Roman"/>
          <w:bCs/>
          <w:sz w:val="24"/>
          <w:szCs w:val="24"/>
        </w:rPr>
        <w:t>40,2</w:t>
      </w:r>
      <w:r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822E1C">
        <w:rPr>
          <w:rFonts w:ascii="Times New Roman" w:hAnsi="Times New Roman" w:cs="Times New Roman"/>
          <w:bCs/>
          <w:sz w:val="24"/>
          <w:szCs w:val="24"/>
        </w:rPr>
        <w:t>više</w:t>
      </w:r>
      <w:r>
        <w:rPr>
          <w:rFonts w:ascii="Times New Roman" w:hAnsi="Times New Roman" w:cs="Times New Roman"/>
          <w:bCs/>
          <w:sz w:val="24"/>
          <w:szCs w:val="24"/>
        </w:rPr>
        <w:t xml:space="preserve"> u odnosu na prethodnu godinu </w:t>
      </w:r>
      <w:r w:rsidR="00822E1C">
        <w:rPr>
          <w:rFonts w:ascii="Times New Roman" w:hAnsi="Times New Roman" w:cs="Times New Roman"/>
          <w:bCs/>
          <w:sz w:val="24"/>
          <w:szCs w:val="24"/>
        </w:rPr>
        <w:t>zbog zapošljavanja dodatnih radnika uslijed otvorenja dograđenog dijela Vrtića odnosno otvorenja dvije dodatne odgojno-obrazovne skupine.</w:t>
      </w:r>
    </w:p>
    <w:p w14:paraId="2995C174" w14:textId="77777777" w:rsidR="00EF6B7C" w:rsidRDefault="00EF6B7C" w:rsidP="00FE615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63D080" w14:textId="77777777" w:rsidR="00EF6B7C" w:rsidRDefault="00EF6B7C" w:rsidP="00B06E18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7A794" w14:textId="000AECB5" w:rsidR="00E51281" w:rsidRDefault="00E51281" w:rsidP="008F765F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323 – Rashodi za usluge</w:t>
      </w:r>
    </w:p>
    <w:p w14:paraId="349FD40F" w14:textId="77777777" w:rsidR="00E51281" w:rsidRDefault="00E51281" w:rsidP="00B06E18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F837A" w14:textId="5E64F9A7" w:rsidR="00E51281" w:rsidRDefault="00E51281" w:rsidP="00FE6156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 w:rsidRPr="00D17B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89D075" w14:textId="77777777" w:rsidR="006E5A29" w:rsidRPr="00FE6156" w:rsidRDefault="006E5A29" w:rsidP="00FE6156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767"/>
        <w:gridCol w:w="2091"/>
        <w:gridCol w:w="1361"/>
        <w:gridCol w:w="13"/>
        <w:gridCol w:w="1417"/>
        <w:gridCol w:w="1297"/>
        <w:gridCol w:w="850"/>
      </w:tblGrid>
      <w:tr w:rsidR="00E51281" w:rsidRPr="00D17B0D" w14:paraId="2A328F38" w14:textId="77777777" w:rsidTr="009C2B1E">
        <w:trPr>
          <w:trHeight w:val="9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24438EDD" w14:textId="77777777" w:rsidR="00E51281" w:rsidRPr="00D17B0D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4ECC7A7E" w14:textId="77777777" w:rsidR="00E51281" w:rsidRPr="00D17B0D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584152F" w14:textId="77777777" w:rsidR="00E51281" w:rsidRPr="00D17B0D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072D64A6" w14:textId="77777777" w:rsidR="00E51281" w:rsidRPr="00D17B0D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37AED19" w14:textId="77777777" w:rsidR="00E51281" w:rsidRPr="00D17B0D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DE6CC25" w14:textId="77777777" w:rsidR="00E51281" w:rsidRPr="00D17B0D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E51281" w:rsidRPr="00B06E18" w14:paraId="7E8B4F28" w14:textId="77777777" w:rsidTr="009C2B1E">
        <w:trPr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70AD20C5" w14:textId="77777777" w:rsidR="00E51281" w:rsidRPr="00B06E18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3CCF2612" w14:textId="77777777" w:rsidR="00E51281" w:rsidRPr="00B06E18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71F447CB" w14:textId="77777777" w:rsidR="00E51281" w:rsidRPr="00B06E18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3732CFC" w14:textId="77777777" w:rsidR="00E51281" w:rsidRPr="00B06E18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4918B4D" w14:textId="77777777" w:rsidR="00E51281" w:rsidRPr="00B06E18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E99D4F3" w14:textId="77777777" w:rsidR="00E51281" w:rsidRPr="00B06E18" w:rsidRDefault="00E51281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9C2B1E" w:rsidRPr="00E51281" w14:paraId="62BC168C" w14:textId="77777777" w:rsidTr="009C2B1E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DC54DD" w14:textId="01B96D78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209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1B09D8A" w14:textId="13B50972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37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F98AFB2" w14:textId="37B35E6D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3231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F98FD2E" w14:textId="107A0311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1.103,19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35AC6B" w14:textId="73DF1868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1.168,51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524757E" w14:textId="47E561B1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105,9</w:t>
            </w:r>
          </w:p>
        </w:tc>
      </w:tr>
      <w:tr w:rsidR="009C2B1E" w:rsidRPr="00E51281" w14:paraId="0A803418" w14:textId="77777777" w:rsidTr="009C2B1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B9E667" w14:textId="7CF70CFF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C8ECB0" w14:textId="093EDADC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92CEBAA" w14:textId="0F91988D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59966C" w14:textId="1C12CDF3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2.515,51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EC99E1" w14:textId="27C9C080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3.148,23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D83544" w14:textId="232F1028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125,2</w:t>
            </w:r>
          </w:p>
        </w:tc>
      </w:tr>
      <w:tr w:rsidR="009C2B1E" w:rsidRPr="00E51281" w14:paraId="101EB7D3" w14:textId="77777777" w:rsidTr="009C2B1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35B2DA5" w14:textId="078B7DF2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BF3043D" w14:textId="6CCD9D72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F63DDA" w14:textId="45285795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5AF95AE" w14:textId="2DED7F80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C0E2AF8" w14:textId="5AF53F22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693688C" w14:textId="190EC283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C2B1E" w:rsidRPr="00E51281" w14:paraId="5A1571A2" w14:textId="77777777" w:rsidTr="009C2B1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26B1D0" w14:textId="16CE7C37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803627" w14:textId="6CB51175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0AA5BD8" w14:textId="2FF682D1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29259F8" w14:textId="29CB0828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3.575,50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92332B" w14:textId="69189C68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6.128,86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C1DBAD" w14:textId="4511BF27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171,4</w:t>
            </w:r>
          </w:p>
        </w:tc>
      </w:tr>
      <w:tr w:rsidR="009C2B1E" w:rsidRPr="00E51281" w14:paraId="38FB5908" w14:textId="77777777" w:rsidTr="009C2B1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3B54260" w14:textId="0BAED0FE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C00D47" w14:textId="6F0D990F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CA43AB" w14:textId="165854A8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92E005" w14:textId="08ADF0CB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A9050B" w14:textId="2B434D92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733601E" w14:textId="3621B28E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108,6</w:t>
            </w:r>
          </w:p>
        </w:tc>
      </w:tr>
      <w:tr w:rsidR="009C2B1E" w:rsidRPr="009C2B1E" w14:paraId="52930389" w14:textId="77777777" w:rsidTr="009C2B1E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7E0BD9" w14:textId="77777777" w:rsidR="009C2B1E" w:rsidRPr="009C2B1E" w:rsidRDefault="009C2B1E" w:rsidP="009C2B1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B1E">
              <w:rPr>
                <w:rFonts w:ascii="Arial" w:hAnsi="Arial" w:cs="Arial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F994C84" w14:textId="77777777" w:rsidR="009C2B1E" w:rsidRPr="009C2B1E" w:rsidRDefault="009C2B1E" w:rsidP="009C2B1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B1E">
              <w:rPr>
                <w:rFonts w:ascii="Arial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191EC5" w14:textId="77777777" w:rsidR="009C2B1E" w:rsidRPr="009C2B1E" w:rsidRDefault="009C2B1E" w:rsidP="009C2B1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</w:pPr>
            <w:r w:rsidRPr="009C2B1E"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BE5BF5" w14:textId="77777777" w:rsidR="009C2B1E" w:rsidRPr="009C2B1E" w:rsidRDefault="009C2B1E" w:rsidP="009C2B1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B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6DAB187" w14:textId="77777777" w:rsidR="009C2B1E" w:rsidRPr="009C2B1E" w:rsidRDefault="009C2B1E" w:rsidP="009C2B1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B1E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ED954B1" w14:textId="77777777" w:rsidR="009C2B1E" w:rsidRPr="009C2B1E" w:rsidRDefault="009C2B1E" w:rsidP="009C2B1E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2B1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C2B1E" w:rsidRPr="00E51281" w14:paraId="0FF249C5" w14:textId="77777777" w:rsidTr="007E2344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936498" w14:textId="3275F00E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209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86E925" w14:textId="69538442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37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4AB06AF" w14:textId="2BFBD426" w:rsidR="009C2B1E" w:rsidRPr="00E51281" w:rsidRDefault="009C2B1E" w:rsidP="009C2B1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3239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2C440A" w14:textId="4E0CE94A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3.107,89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3AECA8" w14:textId="2A268EE9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4.005,28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895A546" w14:textId="133FDDA3" w:rsidR="009C2B1E" w:rsidRPr="00E51281" w:rsidRDefault="009C2B1E" w:rsidP="009C2B1E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</w:t>
            </w:r>
          </w:p>
        </w:tc>
      </w:tr>
    </w:tbl>
    <w:p w14:paraId="57FBC6C7" w14:textId="77777777" w:rsidR="00E51281" w:rsidRDefault="00E51281" w:rsidP="00B06E18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34C99C" w14:textId="2508AAC4" w:rsidR="00E51281" w:rsidRDefault="007F3883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883">
        <w:rPr>
          <w:rFonts w:ascii="Times New Roman" w:hAnsi="Times New Roman" w:cs="Times New Roman"/>
          <w:bCs/>
          <w:sz w:val="24"/>
          <w:szCs w:val="24"/>
        </w:rPr>
        <w:t xml:space="preserve">Šifra 3231 – usluge telefona pošte i prijevoza </w:t>
      </w:r>
      <w:r w:rsidR="00822E1C">
        <w:rPr>
          <w:rFonts w:ascii="Times New Roman" w:hAnsi="Times New Roman" w:cs="Times New Roman"/>
          <w:bCs/>
          <w:sz w:val="24"/>
          <w:szCs w:val="24"/>
        </w:rPr>
        <w:t>ostvarene su u iznosu od 1.168,51eura što je za 5,9% više</w:t>
      </w:r>
      <w:r w:rsidRPr="007F3883">
        <w:rPr>
          <w:rFonts w:ascii="Times New Roman" w:hAnsi="Times New Roman" w:cs="Times New Roman"/>
          <w:bCs/>
          <w:sz w:val="24"/>
          <w:szCs w:val="24"/>
        </w:rPr>
        <w:t xml:space="preserve"> u odnosu na prethodnu</w:t>
      </w:r>
      <w:r w:rsidR="00822E1C">
        <w:rPr>
          <w:rFonts w:ascii="Times New Roman" w:hAnsi="Times New Roman" w:cs="Times New Roman"/>
          <w:bCs/>
          <w:sz w:val="24"/>
          <w:szCs w:val="24"/>
        </w:rPr>
        <w:t>,</w:t>
      </w:r>
      <w:r w:rsidR="007C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E1C">
        <w:rPr>
          <w:rFonts w:ascii="Times New Roman" w:hAnsi="Times New Roman" w:cs="Times New Roman"/>
          <w:bCs/>
          <w:sz w:val="24"/>
          <w:szCs w:val="24"/>
        </w:rPr>
        <w:t xml:space="preserve">a u okvirima je potrošnje </w:t>
      </w:r>
      <w:r w:rsidR="007C77D9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822E1C">
        <w:rPr>
          <w:rFonts w:ascii="Times New Roman" w:hAnsi="Times New Roman" w:cs="Times New Roman"/>
          <w:bCs/>
          <w:sz w:val="24"/>
          <w:szCs w:val="24"/>
        </w:rPr>
        <w:t>prethodn</w:t>
      </w:r>
      <w:r w:rsidR="007C77D9">
        <w:rPr>
          <w:rFonts w:ascii="Times New Roman" w:hAnsi="Times New Roman" w:cs="Times New Roman"/>
          <w:bCs/>
          <w:sz w:val="24"/>
          <w:szCs w:val="24"/>
        </w:rPr>
        <w:t>e</w:t>
      </w:r>
      <w:r w:rsidR="00822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3883">
        <w:rPr>
          <w:rFonts w:ascii="Times New Roman" w:hAnsi="Times New Roman" w:cs="Times New Roman"/>
          <w:bCs/>
          <w:sz w:val="24"/>
          <w:szCs w:val="24"/>
        </w:rPr>
        <w:t>godin</w:t>
      </w:r>
      <w:r w:rsidR="007C77D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375CB3" w14:textId="2CFE0ECE" w:rsidR="007F3883" w:rsidRDefault="007F3883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3232 – usluge tekućeg i investicijskog održavanja iznose </w:t>
      </w:r>
      <w:r w:rsidR="00822E1C">
        <w:rPr>
          <w:rFonts w:ascii="Times New Roman" w:hAnsi="Times New Roman" w:cs="Times New Roman"/>
          <w:bCs/>
          <w:sz w:val="24"/>
          <w:szCs w:val="24"/>
        </w:rPr>
        <w:t>3.148,23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što je </w:t>
      </w:r>
      <w:r w:rsidR="00822E1C">
        <w:rPr>
          <w:rFonts w:ascii="Times New Roman" w:hAnsi="Times New Roman" w:cs="Times New Roman"/>
          <w:bCs/>
          <w:sz w:val="24"/>
          <w:szCs w:val="24"/>
        </w:rPr>
        <w:t>povećanje u odnosu na prethodnu godinu</w:t>
      </w:r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822E1C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22E1C">
        <w:rPr>
          <w:rFonts w:ascii="Times New Roman" w:hAnsi="Times New Roman" w:cs="Times New Roman"/>
          <w:bCs/>
          <w:sz w:val="24"/>
          <w:szCs w:val="24"/>
        </w:rPr>
        <w:t xml:space="preserve">2% </w:t>
      </w:r>
      <w:r>
        <w:rPr>
          <w:rFonts w:ascii="Times New Roman" w:hAnsi="Times New Roman" w:cs="Times New Roman"/>
          <w:bCs/>
          <w:sz w:val="24"/>
          <w:szCs w:val="24"/>
        </w:rPr>
        <w:t xml:space="preserve">iz razloga što </w:t>
      </w:r>
      <w:r w:rsidR="00822E1C">
        <w:rPr>
          <w:rFonts w:ascii="Times New Roman" w:hAnsi="Times New Roman" w:cs="Times New Roman"/>
          <w:bCs/>
          <w:sz w:val="24"/>
          <w:szCs w:val="24"/>
        </w:rPr>
        <w:t>je u 2024.godini bilo potrebno odraditi više servisa vezanih uz redovno održavanje zgrade i opreme, nego prethodne godine.</w:t>
      </w:r>
    </w:p>
    <w:p w14:paraId="20C6D1F2" w14:textId="2C187FFA" w:rsidR="007F3883" w:rsidRDefault="007F3883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3233 – usluge promidžbe i informiranja</w:t>
      </w:r>
      <w:r w:rsidR="00DD3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D49">
        <w:rPr>
          <w:rFonts w:ascii="Times New Roman" w:hAnsi="Times New Roman" w:cs="Times New Roman"/>
          <w:bCs/>
          <w:sz w:val="24"/>
          <w:szCs w:val="24"/>
        </w:rPr>
        <w:t>ove godine su u potpunosti izostale budući da je uputa Ministarstva financija od 2024.godine bila da se HRT pretplata više ne knjiži na navedeni konto već na konto pristojbi i naknada.</w:t>
      </w:r>
    </w:p>
    <w:p w14:paraId="6818856A" w14:textId="720F57ED" w:rsidR="00751D49" w:rsidRDefault="00751D49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3234 – komunalne usluge iznose 6.128,86 eura što je za 71,4% više u odnosu na prethodnu godinu. Velika razlika rezultat je kvara odnosno puknuća vodovodne cijevi uslijed čega je došlo do otjecanja veće količine vode</w:t>
      </w:r>
      <w:r w:rsidR="009560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A289F8" w14:textId="6CA1A48E" w:rsidR="00272700" w:rsidRDefault="00272700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3235 – Zakupnine i najamnine ostvarene su za 8,6% više u odnosu na prethodnu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godinu, a u okvirima su potrošnje u odnosu na prethodnu godinu.</w:t>
      </w:r>
    </w:p>
    <w:p w14:paraId="37BB6BCD" w14:textId="0F4C8548" w:rsidR="00DD339E" w:rsidRDefault="00DD339E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3237 – intelektualne i osobne usluge. Budući da </w:t>
      </w:r>
      <w:r w:rsidR="00272700">
        <w:rPr>
          <w:rFonts w:ascii="Times New Roman" w:hAnsi="Times New Roman" w:cs="Times New Roman"/>
          <w:bCs/>
          <w:sz w:val="24"/>
          <w:szCs w:val="24"/>
        </w:rPr>
        <w:t xml:space="preserve">je u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27270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272700">
        <w:rPr>
          <w:rFonts w:ascii="Times New Roman" w:hAnsi="Times New Roman" w:cs="Times New Roman"/>
          <w:bCs/>
          <w:sz w:val="24"/>
          <w:szCs w:val="24"/>
        </w:rPr>
        <w:t>zaposleno više novih radnika imali smo povećanu</w:t>
      </w:r>
      <w:r>
        <w:rPr>
          <w:rFonts w:ascii="Times New Roman" w:hAnsi="Times New Roman" w:cs="Times New Roman"/>
          <w:bCs/>
          <w:sz w:val="24"/>
          <w:szCs w:val="24"/>
        </w:rPr>
        <w:t xml:space="preserve"> potreb</w:t>
      </w:r>
      <w:r w:rsidR="0027270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za dodatnim edukacijama djelatnika iz područja zaštite na radu</w:t>
      </w:r>
      <w:r w:rsidR="00272700">
        <w:rPr>
          <w:rFonts w:ascii="Times New Roman" w:hAnsi="Times New Roman" w:cs="Times New Roman"/>
          <w:bCs/>
          <w:sz w:val="24"/>
          <w:szCs w:val="24"/>
        </w:rPr>
        <w:t xml:space="preserve"> i zaštite od požara.</w:t>
      </w:r>
    </w:p>
    <w:p w14:paraId="561E4DE8" w14:textId="14F23C05" w:rsidR="00DD339E" w:rsidRPr="006E5A29" w:rsidRDefault="00DD339E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A29">
        <w:rPr>
          <w:rFonts w:ascii="Times New Roman" w:hAnsi="Times New Roman" w:cs="Times New Roman"/>
          <w:bCs/>
          <w:sz w:val="24"/>
          <w:szCs w:val="24"/>
        </w:rPr>
        <w:t>Šifra 323</w:t>
      </w:r>
      <w:r w:rsidR="00272700" w:rsidRPr="006E5A29">
        <w:rPr>
          <w:rFonts w:ascii="Times New Roman" w:hAnsi="Times New Roman" w:cs="Times New Roman"/>
          <w:bCs/>
          <w:sz w:val="24"/>
          <w:szCs w:val="24"/>
        </w:rPr>
        <w:t>9</w:t>
      </w:r>
      <w:r w:rsidRPr="006E5A2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72700" w:rsidRPr="006E5A29">
        <w:rPr>
          <w:rFonts w:ascii="Times New Roman" w:hAnsi="Times New Roman" w:cs="Times New Roman"/>
          <w:bCs/>
          <w:sz w:val="24"/>
          <w:szCs w:val="24"/>
        </w:rPr>
        <w:t>Ostale usluge</w:t>
      </w:r>
      <w:r w:rsidRPr="006E5A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5A29" w:rsidRPr="006E5A29">
        <w:rPr>
          <w:rFonts w:ascii="Times New Roman" w:hAnsi="Times New Roman" w:cs="Times New Roman"/>
          <w:bCs/>
          <w:sz w:val="24"/>
          <w:szCs w:val="24"/>
        </w:rPr>
        <w:t>Budući da smo u 2024. godini imali obvezu napraviti servis ventilacijskih jedinica i ispitivanje radnog okoliša došlo je do većeg odstupanja pa je tako indeks</w:t>
      </w:r>
      <w:r w:rsidR="007C77D9">
        <w:rPr>
          <w:rFonts w:ascii="Times New Roman" w:hAnsi="Times New Roman" w:cs="Times New Roman"/>
          <w:bCs/>
          <w:sz w:val="24"/>
          <w:szCs w:val="24"/>
        </w:rPr>
        <w:t xml:space="preserve"> ostvarenja</w:t>
      </w:r>
      <w:r w:rsidR="006E5A29" w:rsidRPr="006E5A29">
        <w:rPr>
          <w:rFonts w:ascii="Times New Roman" w:hAnsi="Times New Roman" w:cs="Times New Roman"/>
          <w:bCs/>
          <w:sz w:val="24"/>
          <w:szCs w:val="24"/>
        </w:rPr>
        <w:t xml:space="preserve"> u 2024. godini veći za 28,9% u odnosu na prethodnu godinu.</w:t>
      </w:r>
    </w:p>
    <w:p w14:paraId="7E9ABD87" w14:textId="77777777" w:rsidR="00DD339E" w:rsidRDefault="00DD339E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848B0" w14:textId="77777777" w:rsidR="00E40423" w:rsidRDefault="00E40423" w:rsidP="007F3883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B6F94" w14:textId="10A5A57A" w:rsidR="00DD339E" w:rsidRDefault="00DD339E" w:rsidP="007F3883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32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Ostali nespomenuti rashodi poslovanja</w:t>
      </w:r>
    </w:p>
    <w:p w14:paraId="50F84F9B" w14:textId="77777777" w:rsidR="00DD339E" w:rsidRDefault="00DD339E" w:rsidP="007F3883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4ABD8B" w14:textId="6F326B13" w:rsidR="00DD339E" w:rsidRDefault="00DD339E" w:rsidP="00DD339E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 w:rsidRPr="00D17B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718E4C" w14:textId="77777777" w:rsidR="006E5A29" w:rsidRDefault="006E5A29" w:rsidP="00DD339E">
      <w:pPr>
        <w:pStyle w:val="Tijeloteksta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767"/>
        <w:gridCol w:w="2095"/>
        <w:gridCol w:w="1370"/>
        <w:gridCol w:w="1417"/>
        <w:gridCol w:w="1297"/>
        <w:gridCol w:w="850"/>
      </w:tblGrid>
      <w:tr w:rsidR="00DD339E" w:rsidRPr="00D17B0D" w14:paraId="4F57D910" w14:textId="77777777" w:rsidTr="00910E9F">
        <w:trPr>
          <w:trHeight w:val="9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122B688" w14:textId="77777777" w:rsidR="00DD339E" w:rsidRPr="00D17B0D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BC13D38" w14:textId="77777777" w:rsidR="00DD339E" w:rsidRPr="00D17B0D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3F5687ED" w14:textId="77777777" w:rsidR="00DD339E" w:rsidRPr="00D17B0D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5A96F3A" w14:textId="77777777" w:rsidR="00DD339E" w:rsidRPr="00D17B0D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001D0600" w14:textId="77777777" w:rsidR="00DD339E" w:rsidRPr="00D17B0D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47BE046" w14:textId="77777777" w:rsidR="00DD339E" w:rsidRPr="00D17B0D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DD339E" w:rsidRPr="00B06E18" w14:paraId="295E430B" w14:textId="77777777" w:rsidTr="00910E9F">
        <w:trPr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782F17CC" w14:textId="77777777" w:rsidR="00DD339E" w:rsidRPr="00B06E18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41B0D6E9" w14:textId="77777777" w:rsidR="00DD339E" w:rsidRPr="00B06E18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38316E67" w14:textId="77777777" w:rsidR="00DD339E" w:rsidRPr="00B06E18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5B654360" w14:textId="77777777" w:rsidR="00DD339E" w:rsidRPr="00B06E18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56D6B189" w14:textId="77777777" w:rsidR="00DD339E" w:rsidRPr="00B06E18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565B1AF" w14:textId="77777777" w:rsidR="00DD339E" w:rsidRPr="00B06E18" w:rsidRDefault="00DD339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910E9F" w:rsidRPr="00F423A9" w14:paraId="666C43CC" w14:textId="77777777" w:rsidTr="00910E9F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8729228" w14:textId="1EE6CC14" w:rsidR="00910E9F" w:rsidRPr="00F423A9" w:rsidRDefault="00910E9F" w:rsidP="00910E9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209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E5E0AD4" w14:textId="234E5BD7" w:rsidR="00910E9F" w:rsidRPr="00F423A9" w:rsidRDefault="00910E9F" w:rsidP="00910E9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3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D2626C" w14:textId="1E2FFF1A" w:rsidR="00910E9F" w:rsidRPr="00F423A9" w:rsidRDefault="00910E9F" w:rsidP="00910E9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3295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16A94C" w14:textId="4D6E5F3D" w:rsidR="00910E9F" w:rsidRPr="00F423A9" w:rsidRDefault="00910E9F" w:rsidP="00910E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71,74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6976D6" w14:textId="5F1C4813" w:rsidR="00910E9F" w:rsidRPr="00F423A9" w:rsidRDefault="00910E9F" w:rsidP="00910E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631,44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300F2B7" w14:textId="0D93BAF2" w:rsidR="00910E9F" w:rsidRPr="00F423A9" w:rsidRDefault="00910E9F" w:rsidP="00910E9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880,2</w:t>
            </w:r>
          </w:p>
        </w:tc>
      </w:tr>
    </w:tbl>
    <w:p w14:paraId="56D48676" w14:textId="77777777" w:rsidR="00F423A9" w:rsidRDefault="00F423A9" w:rsidP="00F423A9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EE2D1" w14:textId="576C0C2D" w:rsidR="00913928" w:rsidRDefault="00913928" w:rsidP="00F423A9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3295 – Pristojbe i naknade u 202</w:t>
      </w:r>
      <w:r w:rsidR="0027270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iznose </w:t>
      </w:r>
      <w:r w:rsidR="00272700">
        <w:rPr>
          <w:rFonts w:ascii="Times New Roman" w:hAnsi="Times New Roman" w:cs="Times New Roman"/>
          <w:bCs/>
          <w:sz w:val="24"/>
          <w:szCs w:val="24"/>
        </w:rPr>
        <w:t>631,44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</w:t>
      </w:r>
      <w:r w:rsidR="00272700">
        <w:rPr>
          <w:rFonts w:ascii="Times New Roman" w:hAnsi="Times New Roman" w:cs="Times New Roman"/>
          <w:bCs/>
          <w:sz w:val="24"/>
          <w:szCs w:val="24"/>
        </w:rPr>
        <w:t>dok su u  2023.godini iznosile 71,74 eura. Razlog velikog povećanja je uputa Ministarstva financija da se HRT pristojba knjiži na navedeni konto</w:t>
      </w:r>
      <w:r w:rsidR="001B0E50">
        <w:rPr>
          <w:rFonts w:ascii="Times New Roman" w:hAnsi="Times New Roman" w:cs="Times New Roman"/>
          <w:bCs/>
          <w:sz w:val="24"/>
          <w:szCs w:val="24"/>
        </w:rPr>
        <w:t xml:space="preserve"> te naknada zbog nezapošljavanja osoba sa invaliditetom koju smo dužni plaćati od rujna 2024.godine kada je prijašnja stručna suradnica </w:t>
      </w:r>
      <w:proofErr w:type="spellStart"/>
      <w:r w:rsidR="001B0E50">
        <w:rPr>
          <w:rFonts w:ascii="Times New Roman" w:hAnsi="Times New Roman" w:cs="Times New Roman"/>
          <w:bCs/>
          <w:sz w:val="24"/>
          <w:szCs w:val="24"/>
        </w:rPr>
        <w:t>logopedinja</w:t>
      </w:r>
      <w:proofErr w:type="spellEnd"/>
      <w:r w:rsidR="001B0E50">
        <w:rPr>
          <w:rFonts w:ascii="Times New Roman" w:hAnsi="Times New Roman" w:cs="Times New Roman"/>
          <w:bCs/>
          <w:sz w:val="24"/>
          <w:szCs w:val="24"/>
        </w:rPr>
        <w:t xml:space="preserve"> (osoba sa invaliditetom) zatražila sporazumni raskid ug</w:t>
      </w:r>
      <w:r w:rsidR="009560E7">
        <w:rPr>
          <w:rFonts w:ascii="Times New Roman" w:hAnsi="Times New Roman" w:cs="Times New Roman"/>
          <w:bCs/>
          <w:sz w:val="24"/>
          <w:szCs w:val="24"/>
        </w:rPr>
        <w:t>o</w:t>
      </w:r>
      <w:r w:rsidR="001B0E50">
        <w:rPr>
          <w:rFonts w:ascii="Times New Roman" w:hAnsi="Times New Roman" w:cs="Times New Roman"/>
          <w:bCs/>
          <w:sz w:val="24"/>
          <w:szCs w:val="24"/>
        </w:rPr>
        <w:t>vora o radu</w:t>
      </w:r>
      <w:r w:rsidR="009560E7">
        <w:rPr>
          <w:rFonts w:ascii="Times New Roman" w:hAnsi="Times New Roman" w:cs="Times New Roman"/>
          <w:bCs/>
          <w:sz w:val="24"/>
          <w:szCs w:val="24"/>
        </w:rPr>
        <w:t>, a zakonska obveza svih poslodavaca sa 20 i više zaposlenika je da ukoliko nemaju zaposlenu osobu sa invaliditetom moraju plaćati naknadu zbog nezapošljavanja iste.</w:t>
      </w:r>
    </w:p>
    <w:p w14:paraId="4FB3D1F4" w14:textId="77777777" w:rsidR="009100A2" w:rsidRDefault="009100A2" w:rsidP="00C4507D">
      <w:pPr>
        <w:pStyle w:val="Tijeloteksta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E687E4" w14:textId="77777777" w:rsidR="00C4507D" w:rsidRDefault="00C4507D" w:rsidP="00272700">
      <w:pPr>
        <w:pStyle w:val="Tijeloteksta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1AFB2C" w14:textId="09B01BB4" w:rsidR="00913928" w:rsidRDefault="00913928" w:rsidP="00913928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Ostali financijski rashodi</w:t>
      </w:r>
    </w:p>
    <w:p w14:paraId="5A98630B" w14:textId="77777777" w:rsidR="00913928" w:rsidRDefault="00913928" w:rsidP="00913928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01AAA8" w14:textId="22B8425C" w:rsidR="00913928" w:rsidRDefault="00913928" w:rsidP="00913928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70C0FB" w14:textId="77777777" w:rsidR="006E5A29" w:rsidRDefault="006E5A29" w:rsidP="00913928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767"/>
        <w:gridCol w:w="2081"/>
        <w:gridCol w:w="1384"/>
        <w:gridCol w:w="1417"/>
        <w:gridCol w:w="1297"/>
        <w:gridCol w:w="850"/>
      </w:tblGrid>
      <w:tr w:rsidR="00913928" w:rsidRPr="00D17B0D" w14:paraId="74DAC6C9" w14:textId="77777777" w:rsidTr="00913928">
        <w:trPr>
          <w:trHeight w:val="9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5C8857E2" w14:textId="77777777" w:rsidR="00913928" w:rsidRPr="00D17B0D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5A066A5" w14:textId="77777777" w:rsidR="00913928" w:rsidRPr="00D17B0D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258EB736" w14:textId="77777777" w:rsidR="00913928" w:rsidRPr="00D17B0D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F17626A" w14:textId="77777777" w:rsidR="00913928" w:rsidRPr="00D17B0D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F276781" w14:textId="77777777" w:rsidR="00913928" w:rsidRPr="00D17B0D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5BAA863" w14:textId="77777777" w:rsidR="00913928" w:rsidRPr="00D17B0D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913928" w:rsidRPr="00B06E18" w14:paraId="08A571D1" w14:textId="77777777" w:rsidTr="00913928">
        <w:trPr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080911A5" w14:textId="77777777" w:rsidR="00913928" w:rsidRPr="00B06E18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5EF6ADE6" w14:textId="77777777" w:rsidR="00913928" w:rsidRPr="00B06E18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387A2AEB" w14:textId="77777777" w:rsidR="00913928" w:rsidRPr="00B06E18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1CD5575" w14:textId="77777777" w:rsidR="00913928" w:rsidRPr="00B06E18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7D544C68" w14:textId="77777777" w:rsidR="00913928" w:rsidRPr="00B06E18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60428FE" w14:textId="77777777" w:rsidR="00913928" w:rsidRPr="00B06E18" w:rsidRDefault="00913928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3A2B19" w:rsidRPr="00913928" w14:paraId="3FE20013" w14:textId="77777777" w:rsidTr="00913928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9D85FB" w14:textId="7648A869" w:rsidR="003A2B19" w:rsidRPr="00913928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8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29C853" w14:textId="1221EC1E" w:rsidR="003A2B19" w:rsidRPr="00913928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Financijski rashodi (šifre 341+342+343) </w:t>
            </w:r>
          </w:p>
        </w:tc>
        <w:tc>
          <w:tcPr>
            <w:tcW w:w="13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F6DF55" w14:textId="5C762A16" w:rsidR="003A2B19" w:rsidRPr="00913928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9E2AF26" w14:textId="01768660" w:rsidR="003A2B19" w:rsidRPr="00913928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762,32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866149B" w14:textId="17D9BD66" w:rsidR="003A2B19" w:rsidRPr="00913928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853,01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F3142F2" w14:textId="1D70B332" w:rsidR="003A2B19" w:rsidRPr="00913928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111,9</w:t>
            </w:r>
          </w:p>
        </w:tc>
      </w:tr>
    </w:tbl>
    <w:p w14:paraId="20B28BA6" w14:textId="77777777" w:rsidR="00913928" w:rsidRDefault="00913928" w:rsidP="00913928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C686CC" w14:textId="532A28C6" w:rsidR="00C665DF" w:rsidRPr="003E201C" w:rsidRDefault="00272700" w:rsidP="003E201C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Budući da smo </w:t>
      </w:r>
      <w:r w:rsidR="00913928">
        <w:rPr>
          <w:rFonts w:ascii="Times New Roman" w:hAnsi="Times New Roman" w:cs="Times New Roman"/>
          <w:bCs/>
          <w:sz w:val="24"/>
          <w:szCs w:val="24"/>
        </w:rPr>
        <w:t>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13928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bCs/>
          <w:sz w:val="24"/>
          <w:szCs w:val="24"/>
        </w:rPr>
        <w:t>imali više</w:t>
      </w:r>
      <w:r w:rsidR="00913928">
        <w:rPr>
          <w:rFonts w:ascii="Times New Roman" w:hAnsi="Times New Roman" w:cs="Times New Roman"/>
          <w:bCs/>
          <w:sz w:val="24"/>
          <w:szCs w:val="24"/>
        </w:rPr>
        <w:t xml:space="preserve"> ulaznih računa</w:t>
      </w:r>
      <w:r>
        <w:rPr>
          <w:rFonts w:ascii="Times New Roman" w:hAnsi="Times New Roman" w:cs="Times New Roman"/>
          <w:bCs/>
          <w:sz w:val="24"/>
          <w:szCs w:val="24"/>
        </w:rPr>
        <w:t xml:space="preserve"> u odnosu na 2023.godinu te je samim time bilo potrebno i više računa</w:t>
      </w:r>
      <w:r w:rsidR="00913928">
        <w:rPr>
          <w:rFonts w:ascii="Times New Roman" w:hAnsi="Times New Roman" w:cs="Times New Roman"/>
          <w:bCs/>
          <w:sz w:val="24"/>
          <w:szCs w:val="24"/>
        </w:rPr>
        <w:t xml:space="preserve"> platiti putem poslovnog računa Vrtića, </w:t>
      </w:r>
      <w:r w:rsidR="00184AF5">
        <w:rPr>
          <w:rFonts w:ascii="Times New Roman" w:hAnsi="Times New Roman" w:cs="Times New Roman"/>
          <w:bCs/>
          <w:sz w:val="24"/>
          <w:szCs w:val="24"/>
        </w:rPr>
        <w:t xml:space="preserve">ostvaren je indeks od </w:t>
      </w:r>
      <w:r>
        <w:rPr>
          <w:rFonts w:ascii="Times New Roman" w:hAnsi="Times New Roman" w:cs="Times New Roman"/>
          <w:bCs/>
          <w:sz w:val="24"/>
          <w:szCs w:val="24"/>
        </w:rPr>
        <w:t>11,9</w:t>
      </w:r>
      <w:r w:rsidR="00184AF5">
        <w:rPr>
          <w:rFonts w:ascii="Times New Roman" w:hAnsi="Times New Roman" w:cs="Times New Roman"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="00184AF5">
        <w:rPr>
          <w:rFonts w:ascii="Times New Roman" w:hAnsi="Times New Roman" w:cs="Times New Roman"/>
          <w:bCs/>
          <w:sz w:val="24"/>
          <w:szCs w:val="24"/>
        </w:rPr>
        <w:t xml:space="preserve"> u odnosu na prethodnu godinu</w:t>
      </w:r>
      <w:r w:rsidR="00EF6B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B5611D" w14:textId="77777777" w:rsidR="00FE6156" w:rsidRDefault="00FE6156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EBE5A5" w14:textId="77777777" w:rsidR="006E5A29" w:rsidRDefault="006E5A29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25EB7" w14:textId="77777777" w:rsidR="006E5A29" w:rsidRDefault="006E5A29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962E6" w14:textId="77777777" w:rsidR="006E5A29" w:rsidRDefault="006E5A29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55735" w14:textId="77777777" w:rsidR="00093EC8" w:rsidRDefault="00093EC8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BF47B6" w14:textId="77777777" w:rsidR="00093EC8" w:rsidRDefault="00093EC8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833971" w14:textId="77777777" w:rsidR="006E5A29" w:rsidRDefault="006E5A29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04030C" w14:textId="77777777" w:rsidR="006E5A29" w:rsidRDefault="006E5A29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4468B7" w14:textId="77777777" w:rsidR="00FE6156" w:rsidRDefault="00FE6156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2CCBF0" w14:textId="206DA429" w:rsidR="00184AF5" w:rsidRDefault="00184AF5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Bilješka broj 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422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Postrojenja i oprema</w:t>
      </w:r>
    </w:p>
    <w:p w14:paraId="6789B52F" w14:textId="77777777" w:rsidR="00A67E86" w:rsidRDefault="00A67E86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C1E51" w14:textId="6D2315A3" w:rsidR="00A67E86" w:rsidRDefault="00A67E86" w:rsidP="00A67E86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D60794" w14:textId="77777777" w:rsidR="00A67E86" w:rsidRDefault="00A67E86" w:rsidP="00184AF5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767"/>
        <w:gridCol w:w="2062"/>
        <w:gridCol w:w="1410"/>
        <w:gridCol w:w="1409"/>
        <w:gridCol w:w="8"/>
        <w:gridCol w:w="1290"/>
        <w:gridCol w:w="850"/>
      </w:tblGrid>
      <w:tr w:rsidR="00A67E86" w:rsidRPr="00D17B0D" w14:paraId="77D4BE75" w14:textId="77777777" w:rsidTr="00A374E9">
        <w:trPr>
          <w:trHeight w:val="9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3A8FC9BA" w14:textId="77777777" w:rsidR="00A67E86" w:rsidRPr="00D17B0D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393AB232" w14:textId="77777777" w:rsidR="00A67E86" w:rsidRPr="00D17B0D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BD308E6" w14:textId="77777777" w:rsidR="00A67E86" w:rsidRPr="00D17B0D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0A092624" w14:textId="77777777" w:rsidR="00A67E86" w:rsidRPr="00D17B0D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C08EA9A" w14:textId="77777777" w:rsidR="00A67E86" w:rsidRPr="00D17B0D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1CE047" w14:textId="77777777" w:rsidR="00A67E86" w:rsidRPr="00D17B0D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A67E86" w:rsidRPr="00B06E18" w14:paraId="391EDF7F" w14:textId="77777777" w:rsidTr="00A374E9">
        <w:trPr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379B9753" w14:textId="77777777" w:rsidR="00A67E86" w:rsidRPr="00B06E18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670918B3" w14:textId="77777777" w:rsidR="00A67E86" w:rsidRPr="00B06E18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63058B27" w14:textId="77777777" w:rsidR="00A67E86" w:rsidRPr="00B06E18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6B8483C" w14:textId="77777777" w:rsidR="00A67E86" w:rsidRPr="00B06E18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6B8034F" w14:textId="77777777" w:rsidR="00A67E86" w:rsidRPr="00B06E18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C63BB8D" w14:textId="77777777" w:rsidR="00A67E86" w:rsidRPr="00B06E18" w:rsidRDefault="00A67E86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3A2B19" w:rsidRPr="00A67E86" w14:paraId="51918287" w14:textId="77777777" w:rsidTr="00A374E9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6859495" w14:textId="61CE6452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20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A20A2C" w14:textId="766A40DF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4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C6CFEFE" w14:textId="08411D03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4221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C7F3B47" w14:textId="1294C52C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4.732,93</w:t>
            </w:r>
          </w:p>
        </w:tc>
        <w:tc>
          <w:tcPr>
            <w:tcW w:w="12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811E6EF" w14:textId="347CD84F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D55E5A" w14:textId="255E1753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</w:tr>
      <w:tr w:rsidR="003A2B19" w:rsidRPr="00A67E86" w14:paraId="1AB3C0F6" w14:textId="77777777" w:rsidTr="00A374E9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6495B18" w14:textId="2A613DF7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3890B1" w14:textId="746A77FD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13C280" w14:textId="51E1C7C5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1196712" w14:textId="3780414E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1.875,79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693C45A" w14:textId="5B6E8C68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E08DFC" w14:textId="073D8E65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2B19" w:rsidRPr="00A67E86" w14:paraId="523D8E9A" w14:textId="77777777" w:rsidTr="00A374E9">
        <w:trPr>
          <w:trHeight w:val="255"/>
        </w:trPr>
        <w:tc>
          <w:tcPr>
            <w:tcW w:w="7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E1E899" w14:textId="06738105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20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A517BE" w14:textId="06A64024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4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18C858D" w14:textId="5879F552" w:rsidR="003A2B19" w:rsidRPr="00A67E86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4227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EC4E88" w14:textId="7F9E922B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3.526,75</w:t>
            </w:r>
          </w:p>
        </w:tc>
        <w:tc>
          <w:tcPr>
            <w:tcW w:w="12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28DAF38" w14:textId="062DAC56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7.962,14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087BBD4" w14:textId="250E9FD6" w:rsidR="003A2B19" w:rsidRPr="00A67E86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225,8</w:t>
            </w:r>
          </w:p>
        </w:tc>
      </w:tr>
    </w:tbl>
    <w:p w14:paraId="57FC8F50" w14:textId="77777777" w:rsidR="006E5A29" w:rsidRDefault="006E5A29" w:rsidP="008F17F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72256" w14:textId="50BF5A6B" w:rsidR="00A374E9" w:rsidRDefault="00A374E9" w:rsidP="008F17F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7F3">
        <w:rPr>
          <w:rFonts w:ascii="Times New Roman" w:hAnsi="Times New Roman" w:cs="Times New Roman"/>
          <w:bCs/>
          <w:sz w:val="24"/>
          <w:szCs w:val="24"/>
        </w:rPr>
        <w:t>Šifra 4221 – uredska oprema i namještaj</w:t>
      </w:r>
      <w:r w:rsidR="00272700">
        <w:rPr>
          <w:rFonts w:ascii="Times New Roman" w:hAnsi="Times New Roman" w:cs="Times New Roman"/>
          <w:bCs/>
          <w:sz w:val="24"/>
          <w:szCs w:val="24"/>
        </w:rPr>
        <w:t>. Budući da nije bilo potrebe za većom nabavkom uredske opreme i namještaja, ostvaren je indeks od 88,4% manje u odnosu na prethodnu godinu.</w:t>
      </w:r>
    </w:p>
    <w:p w14:paraId="2A26B2F2" w14:textId="099A049D" w:rsidR="008F17F3" w:rsidRDefault="008F17F3" w:rsidP="008F17F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4222 – komunikacijska oprema. </w:t>
      </w:r>
      <w:r w:rsidR="00183619">
        <w:rPr>
          <w:rFonts w:ascii="Times New Roman" w:hAnsi="Times New Roman" w:cs="Times New Roman"/>
          <w:bCs/>
          <w:sz w:val="24"/>
          <w:szCs w:val="24"/>
        </w:rPr>
        <w:t>Budući da 2024.godine nismo nabavljali komunikacijsku opremu, izostao je iznos na predmetnom kontu.</w:t>
      </w:r>
    </w:p>
    <w:p w14:paraId="40B78EFF" w14:textId="3570F2C0" w:rsidR="008F17F3" w:rsidRDefault="008F17F3" w:rsidP="008F17F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Šifra 4227 – </w:t>
      </w:r>
      <w:r w:rsidR="006A1B44">
        <w:rPr>
          <w:rFonts w:ascii="Times New Roman" w:hAnsi="Times New Roman" w:cs="Times New Roman"/>
          <w:bCs/>
          <w:sz w:val="24"/>
          <w:szCs w:val="24"/>
        </w:rPr>
        <w:t>Uređaji, strojevi i oprema za ostale namjene. U 202</w:t>
      </w:r>
      <w:r w:rsidR="00183619">
        <w:rPr>
          <w:rFonts w:ascii="Times New Roman" w:hAnsi="Times New Roman" w:cs="Times New Roman"/>
          <w:bCs/>
          <w:sz w:val="24"/>
          <w:szCs w:val="24"/>
        </w:rPr>
        <w:t>4</w:t>
      </w:r>
      <w:r w:rsidR="006A1B44">
        <w:rPr>
          <w:rFonts w:ascii="Times New Roman" w:hAnsi="Times New Roman" w:cs="Times New Roman"/>
          <w:bCs/>
          <w:sz w:val="24"/>
          <w:szCs w:val="24"/>
        </w:rPr>
        <w:t>. godini nabavljen</w:t>
      </w:r>
      <w:r w:rsidR="00183619">
        <w:rPr>
          <w:rFonts w:ascii="Times New Roman" w:hAnsi="Times New Roman" w:cs="Times New Roman"/>
          <w:bCs/>
          <w:sz w:val="24"/>
          <w:szCs w:val="24"/>
        </w:rPr>
        <w:t xml:space="preserve"> je profesionalni usisavač (za mokro i suho usisavanje) za potrebe spremačica, nabavljena su dodatna kolica za spremačice, dodatna dvoja kolica za posluživanje hrane te maske  odnosno zaštit</w:t>
      </w:r>
      <w:r w:rsidR="009560E7">
        <w:rPr>
          <w:rFonts w:ascii="Times New Roman" w:hAnsi="Times New Roman" w:cs="Times New Roman"/>
          <w:bCs/>
          <w:sz w:val="24"/>
          <w:szCs w:val="24"/>
        </w:rPr>
        <w:t>e</w:t>
      </w:r>
      <w:r w:rsidR="00183619">
        <w:rPr>
          <w:rFonts w:ascii="Times New Roman" w:hAnsi="Times New Roman" w:cs="Times New Roman"/>
          <w:bCs/>
          <w:sz w:val="24"/>
          <w:szCs w:val="24"/>
        </w:rPr>
        <w:t xml:space="preserve"> za radijatore za kompletni dograđeni dio Vrtića te je zbog tih razloga ostvareni iznos od 7.962,14 eura što je za 125,8% više u odnosu na prethodnu godinu.</w:t>
      </w:r>
      <w:r w:rsidR="006A1B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9372FF" w14:textId="77777777" w:rsidR="006A1B44" w:rsidRDefault="006A1B44" w:rsidP="008F17F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AE85F" w14:textId="77777777" w:rsidR="006A1B44" w:rsidRDefault="006A1B44" w:rsidP="008F17F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37C322" w14:textId="014CE8C4" w:rsidR="006A1B44" w:rsidRPr="006A1B44" w:rsidRDefault="006A1B44" w:rsidP="006A1B44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424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6A1B44">
        <w:rPr>
          <w:rFonts w:ascii="Times New Roman" w:hAnsi="Times New Roman" w:cs="Times New Roman"/>
          <w:b/>
          <w:sz w:val="24"/>
          <w:szCs w:val="24"/>
          <w:u w:val="single"/>
        </w:rPr>
        <w:t>Knjige</w:t>
      </w:r>
      <w:r w:rsidRPr="006A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, umjetnička djela i ostale izložbene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vrijednosti</w:t>
      </w:r>
    </w:p>
    <w:p w14:paraId="4930B5A9" w14:textId="0BB95187" w:rsidR="006A1B44" w:rsidRDefault="006A1B44" w:rsidP="008F17F3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7F539D" w14:textId="445DD9BE" w:rsidR="006A1B44" w:rsidRDefault="006A1B44" w:rsidP="006A1B44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ECE58D" w14:textId="77777777" w:rsidR="006E5A29" w:rsidRDefault="006E5A29" w:rsidP="006A1B44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850"/>
        <w:gridCol w:w="1966"/>
        <w:gridCol w:w="6"/>
        <w:gridCol w:w="1410"/>
        <w:gridCol w:w="1417"/>
        <w:gridCol w:w="1297"/>
        <w:gridCol w:w="850"/>
      </w:tblGrid>
      <w:tr w:rsidR="006A1B44" w:rsidRPr="00D17B0D" w14:paraId="57056F9D" w14:textId="77777777" w:rsidTr="003A2B19">
        <w:trPr>
          <w:trHeight w:val="9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090B629" w14:textId="77777777" w:rsidR="006A1B44" w:rsidRPr="00D17B0D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2AA935E9" w14:textId="77777777" w:rsidR="006A1B44" w:rsidRPr="00D17B0D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3885FE84" w14:textId="77777777" w:rsidR="006A1B44" w:rsidRPr="00D17B0D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0781E3C0" w14:textId="77777777" w:rsidR="006A1B44" w:rsidRPr="00D17B0D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D0AEF67" w14:textId="77777777" w:rsidR="006A1B44" w:rsidRPr="00D17B0D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78F142A" w14:textId="77777777" w:rsidR="006A1B44" w:rsidRPr="00D17B0D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6A1B44" w:rsidRPr="00B06E18" w14:paraId="38A447C4" w14:textId="77777777" w:rsidTr="003A2B1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0697CA82" w14:textId="77777777" w:rsidR="006A1B44" w:rsidRPr="00B06E18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084082FF" w14:textId="77777777" w:rsidR="006A1B44" w:rsidRPr="00B06E18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2DEE12BB" w14:textId="77777777" w:rsidR="006A1B44" w:rsidRPr="00B06E18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1515C36" w14:textId="77777777" w:rsidR="006A1B44" w:rsidRPr="00B06E18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94B5A02" w14:textId="77777777" w:rsidR="006A1B44" w:rsidRPr="00B06E18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AC8E91F" w14:textId="77777777" w:rsidR="006A1B44" w:rsidRPr="00B06E18" w:rsidRDefault="006A1B4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3A2B19" w:rsidRPr="006A1B44" w14:paraId="47DF50A8" w14:textId="77777777" w:rsidTr="003A2B19">
        <w:trPr>
          <w:trHeight w:val="255"/>
        </w:trPr>
        <w:tc>
          <w:tcPr>
            <w:tcW w:w="85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A5B51C" w14:textId="5A627D0A" w:rsidR="003A2B19" w:rsidRPr="006A1B44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97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21E822" w14:textId="032AF67C" w:rsidR="003A2B19" w:rsidRPr="006A1B44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Knjige </w:t>
            </w:r>
          </w:p>
        </w:tc>
        <w:tc>
          <w:tcPr>
            <w:tcW w:w="14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D34EF3" w14:textId="5725A443" w:rsidR="003A2B19" w:rsidRPr="006A1B44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4241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8877A6" w14:textId="69B91B92" w:rsidR="003A2B19" w:rsidRPr="006A1B44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385,09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B62FE10" w14:textId="741C8FD0" w:rsidR="003A2B19" w:rsidRPr="006A1B44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471,94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FB96EE0" w14:textId="799716F2" w:rsidR="003A2B19" w:rsidRPr="006A1B44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122,6</w:t>
            </w:r>
          </w:p>
        </w:tc>
      </w:tr>
    </w:tbl>
    <w:p w14:paraId="3BC0CB76" w14:textId="77777777" w:rsidR="006A1B44" w:rsidRDefault="006A1B44" w:rsidP="006A1B44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94349C" w14:textId="6704643A" w:rsidR="006A1B44" w:rsidRDefault="006A1B44" w:rsidP="006A1B44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83619">
        <w:rPr>
          <w:rFonts w:ascii="Times New Roman" w:hAnsi="Times New Roman" w:cs="Times New Roman"/>
          <w:bCs/>
          <w:sz w:val="24"/>
          <w:szCs w:val="24"/>
        </w:rPr>
        <w:t>Zbog dotrajalosti većeg broja slikovnica, nabavljene su nove slikovnice za dječju knjižnicu te je ostvaren indeks od 22,6% više nego prošle godine kad nije bilo potrebe za nabavkom novih slikovnica.</w:t>
      </w:r>
    </w:p>
    <w:p w14:paraId="583FCEF2" w14:textId="77777777" w:rsidR="006A1B44" w:rsidRDefault="006A1B44" w:rsidP="006A1B44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8678E3" w14:textId="77777777" w:rsidR="006A1B44" w:rsidRDefault="006A1B44" w:rsidP="006A1B44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76626" w14:textId="1BA903B1" w:rsidR="006A1B44" w:rsidRDefault="006A1B44" w:rsidP="006A1B44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3A2B1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3A2B19">
        <w:rPr>
          <w:rFonts w:ascii="Times New Roman" w:hAnsi="Times New Roman" w:cs="Times New Roman"/>
          <w:b/>
          <w:sz w:val="24"/>
          <w:szCs w:val="24"/>
          <w:u w:val="single"/>
        </w:rPr>
        <w:t>Nematerijalna proizvedena imovina</w:t>
      </w:r>
    </w:p>
    <w:p w14:paraId="6252DFBB" w14:textId="77777777" w:rsidR="000437EF" w:rsidRDefault="000437EF" w:rsidP="006A1B44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BEBC61" w14:textId="3279ED77" w:rsidR="000437EF" w:rsidRDefault="000437EF" w:rsidP="000437E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8A2F3C" w14:textId="77777777" w:rsidR="006E5A29" w:rsidRDefault="006E5A29" w:rsidP="000437E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842"/>
        <w:gridCol w:w="1993"/>
        <w:gridCol w:w="1255"/>
        <w:gridCol w:w="1559"/>
        <w:gridCol w:w="1297"/>
        <w:gridCol w:w="850"/>
      </w:tblGrid>
      <w:tr w:rsidR="000437EF" w:rsidRPr="00D17B0D" w14:paraId="61EC8FDD" w14:textId="77777777" w:rsidTr="000437EF">
        <w:trPr>
          <w:trHeight w:val="96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433EA82F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55C6F23B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4C47B57F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60AB0D6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32EEA92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9E99B04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0437EF" w:rsidRPr="00B06E18" w14:paraId="469BA94F" w14:textId="77777777" w:rsidTr="000437EF">
        <w:trPr>
          <w:trHeight w:val="24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4B57FFF4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0A031859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33C9C69B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5ED4EB98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95F0468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D38C99F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3A2B19" w:rsidRPr="000437EF" w14:paraId="1721F14C" w14:textId="77777777" w:rsidTr="000437EF">
        <w:trPr>
          <w:trHeight w:val="255"/>
        </w:trPr>
        <w:tc>
          <w:tcPr>
            <w:tcW w:w="84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E6B2E54" w14:textId="0D75DF6E" w:rsidR="003A2B19" w:rsidRPr="000437EF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19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0DD2F5A" w14:textId="44CC22BC" w:rsidR="003A2B19" w:rsidRPr="000437EF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Ulaganja u računalne programe </w:t>
            </w:r>
          </w:p>
        </w:tc>
        <w:tc>
          <w:tcPr>
            <w:tcW w:w="12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06E3336" w14:textId="2799EC40" w:rsidR="003A2B19" w:rsidRPr="000437EF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4262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EAF7C34" w14:textId="137E7AC6" w:rsidR="003A2B19" w:rsidRPr="000437EF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3CB72D" w14:textId="7BFA0669" w:rsidR="003A2B19" w:rsidRPr="000437EF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D4BFC7B" w14:textId="1EBF3AA3" w:rsidR="003A2B19" w:rsidRPr="000437EF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</w:tbl>
    <w:p w14:paraId="51DC805D" w14:textId="15723883" w:rsidR="006E5A29" w:rsidRDefault="000437EF" w:rsidP="000437EF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ab/>
        <w:t>U 202</w:t>
      </w:r>
      <w:r w:rsidR="001836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437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</w:t>
      </w:r>
      <w:r w:rsidR="001836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kupljena je samo dopuna (dogradnja) programa transparentno te je ostvaren indeks od 75,0% manje nego 2023.godine.</w:t>
      </w:r>
    </w:p>
    <w:p w14:paraId="7FD1BFB9" w14:textId="77777777" w:rsidR="006E5A29" w:rsidRDefault="006E5A29" w:rsidP="000437EF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95E243" w14:textId="77777777" w:rsidR="00FE6156" w:rsidRDefault="00FE6156" w:rsidP="000437EF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4BADCC4" w14:textId="4AF32C46" w:rsidR="000437EF" w:rsidRDefault="000437EF" w:rsidP="000437EF">
      <w:pPr>
        <w:widowControl/>
        <w:autoSpaceDE/>
        <w:autoSpaceDN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E5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37EF">
        <w:rPr>
          <w:rFonts w:ascii="Times New Roman" w:hAnsi="Times New Roman" w:cs="Times New Roman"/>
          <w:b/>
          <w:sz w:val="24"/>
          <w:szCs w:val="24"/>
          <w:u w:val="single"/>
        </w:rPr>
        <w:t>uz šifru X006 – Višak prihoda i primitaka raspoloživu sljedećem razdoblju</w:t>
      </w:r>
    </w:p>
    <w:p w14:paraId="204545E3" w14:textId="77777777" w:rsidR="000437EF" w:rsidRPr="000437EF" w:rsidRDefault="000437EF" w:rsidP="000437EF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6E3CBE" w14:textId="77570096" w:rsidR="000437EF" w:rsidRDefault="000437EF" w:rsidP="00FE6156">
      <w:pPr>
        <w:pStyle w:val="Tijeloteksta"/>
        <w:ind w:left="8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B0D">
        <w:rPr>
          <w:rFonts w:ascii="Times New Roman" w:hAnsi="Times New Roman" w:cs="Times New Roman"/>
          <w:bCs/>
          <w:sz w:val="24"/>
          <w:szCs w:val="24"/>
        </w:rPr>
        <w:t>Isječak iz izvještaja o prihodima i rashodima, primicima i izdacima na da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D17B0D">
        <w:rPr>
          <w:rFonts w:ascii="Times New Roman" w:hAnsi="Times New Roman" w:cs="Times New Roman"/>
          <w:bCs/>
          <w:sz w:val="24"/>
          <w:szCs w:val="24"/>
        </w:rPr>
        <w:t>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FCDA3C" w14:textId="77777777" w:rsidR="006E5A29" w:rsidRDefault="006E5A29" w:rsidP="00FE6156">
      <w:pPr>
        <w:pStyle w:val="Tijeloteksta"/>
        <w:ind w:left="83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851"/>
        <w:gridCol w:w="1984"/>
        <w:gridCol w:w="1276"/>
        <w:gridCol w:w="1538"/>
        <w:gridCol w:w="21"/>
        <w:gridCol w:w="1276"/>
        <w:gridCol w:w="850"/>
      </w:tblGrid>
      <w:tr w:rsidR="000437EF" w:rsidRPr="00D17B0D" w14:paraId="46E1DADB" w14:textId="77777777" w:rsidTr="00F13FE3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543061F9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5F2B63B3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E9CA67E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AABE8CA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300E965A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AAAD609" w14:textId="77777777" w:rsidR="000437EF" w:rsidRPr="00D17B0D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0437EF" w:rsidRPr="00B06E18" w14:paraId="353DCE53" w14:textId="77777777" w:rsidTr="00F13FE3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6195D740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4C6FAE55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737FC4EC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7B28DF8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7FD1CDD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744925D8" w14:textId="77777777" w:rsidR="000437EF" w:rsidRPr="00B06E18" w:rsidRDefault="000437E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3A2B19" w:rsidRPr="000437EF" w14:paraId="63ADAB44" w14:textId="77777777" w:rsidTr="00F13FE3">
        <w:trPr>
          <w:trHeight w:val="480"/>
        </w:trPr>
        <w:tc>
          <w:tcPr>
            <w:tcW w:w="85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C07B2E" w14:textId="242C3854" w:rsidR="003A2B19" w:rsidRPr="000437EF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423F52" w14:textId="0AA9C388" w:rsidR="003A2B19" w:rsidRPr="000437EF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483FBB1" w14:textId="11A8408D" w:rsidR="003A2B19" w:rsidRPr="000437EF" w:rsidRDefault="003A2B19" w:rsidP="003A2B1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X006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5B730A" w14:textId="5140DD51" w:rsidR="003A2B19" w:rsidRPr="000437EF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16.151,91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593A40" w14:textId="3DE8CCAE" w:rsidR="003A2B19" w:rsidRPr="000437EF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23.574,58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31C6724" w14:textId="6FB932E4" w:rsidR="003A2B19" w:rsidRPr="000437EF" w:rsidRDefault="003A2B19" w:rsidP="003A2B1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146,0</w:t>
            </w:r>
          </w:p>
        </w:tc>
      </w:tr>
    </w:tbl>
    <w:p w14:paraId="665DBD33" w14:textId="77777777" w:rsidR="000437EF" w:rsidRDefault="000437EF" w:rsidP="006A1B44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2ED67" w14:textId="355729DD" w:rsidR="00C4507D" w:rsidRDefault="000437EF" w:rsidP="00EF6B7C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13FE3">
        <w:rPr>
          <w:rFonts w:ascii="Times New Roman" w:hAnsi="Times New Roman" w:cs="Times New Roman"/>
          <w:bCs/>
          <w:sz w:val="24"/>
          <w:szCs w:val="24"/>
        </w:rPr>
        <w:t>Ukupan v</w:t>
      </w:r>
      <w:r w:rsidRPr="000437EF">
        <w:rPr>
          <w:rFonts w:ascii="Times New Roman" w:hAnsi="Times New Roman" w:cs="Times New Roman"/>
          <w:bCs/>
          <w:sz w:val="24"/>
          <w:szCs w:val="24"/>
        </w:rPr>
        <w:t xml:space="preserve">išak prihoda i primitaka </w:t>
      </w:r>
      <w:r w:rsidR="00F13FE3">
        <w:rPr>
          <w:rFonts w:ascii="Times New Roman" w:hAnsi="Times New Roman" w:cs="Times New Roman"/>
          <w:bCs/>
          <w:sz w:val="24"/>
          <w:szCs w:val="24"/>
        </w:rPr>
        <w:t xml:space="preserve">iznosi </w:t>
      </w:r>
      <w:r w:rsidR="00183619">
        <w:rPr>
          <w:rFonts w:ascii="Times New Roman" w:hAnsi="Times New Roman" w:cs="Times New Roman"/>
          <w:bCs/>
          <w:sz w:val="24"/>
          <w:szCs w:val="24"/>
        </w:rPr>
        <w:t>23.574,58</w:t>
      </w:r>
      <w:r w:rsidR="00F13F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3FE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F13FE3">
        <w:rPr>
          <w:rFonts w:ascii="Times New Roman" w:hAnsi="Times New Roman" w:cs="Times New Roman"/>
          <w:bCs/>
          <w:sz w:val="24"/>
          <w:szCs w:val="24"/>
        </w:rPr>
        <w:t xml:space="preserve">, a iskazuje se kao zbroj viška prihoda i primitaka </w:t>
      </w:r>
      <w:r w:rsidR="00C4507D">
        <w:rPr>
          <w:rFonts w:ascii="Times New Roman" w:hAnsi="Times New Roman" w:cs="Times New Roman"/>
          <w:bCs/>
          <w:sz w:val="24"/>
          <w:szCs w:val="24"/>
        </w:rPr>
        <w:t xml:space="preserve">iz prethodne godine </w:t>
      </w:r>
      <w:r w:rsidR="00F13FE3">
        <w:rPr>
          <w:rFonts w:ascii="Times New Roman" w:hAnsi="Times New Roman" w:cs="Times New Roman"/>
          <w:bCs/>
          <w:sz w:val="24"/>
          <w:szCs w:val="24"/>
        </w:rPr>
        <w:t>raspoloživog u sljedećem razdoblju (šifra X006) i višak prihoda i primitaka s danom 31.12.202</w:t>
      </w:r>
      <w:r w:rsidR="00183619">
        <w:rPr>
          <w:rFonts w:ascii="Times New Roman" w:hAnsi="Times New Roman" w:cs="Times New Roman"/>
          <w:bCs/>
          <w:sz w:val="24"/>
          <w:szCs w:val="24"/>
        </w:rPr>
        <w:t>4</w:t>
      </w:r>
      <w:r w:rsidR="00F13FE3">
        <w:rPr>
          <w:rFonts w:ascii="Times New Roman" w:hAnsi="Times New Roman" w:cs="Times New Roman"/>
          <w:bCs/>
          <w:sz w:val="24"/>
          <w:szCs w:val="24"/>
        </w:rPr>
        <w:t>. (šifra X004).</w:t>
      </w:r>
    </w:p>
    <w:p w14:paraId="36B6DCBA" w14:textId="77777777" w:rsidR="006E5A29" w:rsidRDefault="006E5A29" w:rsidP="00EF6B7C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997E2B" w14:textId="77777777" w:rsidR="00183619" w:rsidRDefault="00183619" w:rsidP="00EF6B7C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73A9CA" w14:textId="77777777" w:rsidR="001558EB" w:rsidRPr="006C0D1F" w:rsidRDefault="001558EB" w:rsidP="001558EB">
      <w:pPr>
        <w:pStyle w:val="Naslov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none"/>
        </w:rPr>
      </w:pPr>
      <w:r w:rsidRPr="006C0D1F">
        <w:rPr>
          <w:rFonts w:ascii="Times New Roman" w:hAnsi="Times New Roman" w:cs="Times New Roman"/>
          <w:sz w:val="24"/>
          <w:szCs w:val="24"/>
        </w:rPr>
        <w:t>Bilješke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uz</w:t>
      </w:r>
      <w:r w:rsidRPr="006C0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0D1F">
        <w:rPr>
          <w:rFonts w:ascii="Times New Roman" w:hAnsi="Times New Roman" w:cs="Times New Roman"/>
          <w:sz w:val="24"/>
          <w:szCs w:val="24"/>
        </w:rPr>
        <w:t>Bilancu</w:t>
      </w:r>
    </w:p>
    <w:p w14:paraId="734597DA" w14:textId="77777777" w:rsidR="001558EB" w:rsidRDefault="001558EB" w:rsidP="001558EB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F6E7F" w14:textId="1C7D2680" w:rsidR="001558EB" w:rsidRDefault="001558EB" w:rsidP="001558EB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F8D">
        <w:rPr>
          <w:rFonts w:ascii="Times New Roman" w:hAnsi="Times New Roman" w:cs="Times New Roman"/>
          <w:bCs/>
          <w:sz w:val="24"/>
          <w:szCs w:val="24"/>
        </w:rPr>
        <w:t>Bilanca predstavlja vrijednosno iskazani pregled imovine, obveza i vlastitih izvora sa stanjem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8D">
        <w:rPr>
          <w:rFonts w:ascii="Times New Roman" w:hAnsi="Times New Roman" w:cs="Times New Roman"/>
          <w:bCs/>
          <w:sz w:val="24"/>
          <w:szCs w:val="24"/>
        </w:rPr>
        <w:t>na dan 31. prosinca 202</w:t>
      </w:r>
      <w:r w:rsidR="00183619">
        <w:rPr>
          <w:rFonts w:ascii="Times New Roman" w:hAnsi="Times New Roman" w:cs="Times New Roman"/>
          <w:bCs/>
          <w:sz w:val="24"/>
          <w:szCs w:val="24"/>
        </w:rPr>
        <w:t>4</w:t>
      </w:r>
      <w:r w:rsidRPr="00497F8D"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499ED1FB" w14:textId="77777777" w:rsidR="001558EB" w:rsidRDefault="001558EB" w:rsidP="001558EB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17DF93" w14:textId="77777777" w:rsidR="00C4507D" w:rsidRDefault="00C4507D" w:rsidP="001558EB">
      <w:pPr>
        <w:pStyle w:val="Tijelotekst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A6DD6" w14:textId="1FC55A25" w:rsidR="001558EB" w:rsidRDefault="001558EB" w:rsidP="001558EB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>Bilješka broj 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Obvezna bilješka uz Bilancu</w:t>
      </w:r>
    </w:p>
    <w:p w14:paraId="78849AE8" w14:textId="77777777" w:rsidR="001558EB" w:rsidRDefault="001558EB" w:rsidP="001558EB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37B357" w14:textId="77777777" w:rsidR="001558EB" w:rsidRDefault="001558EB" w:rsidP="001558EB">
      <w:pPr>
        <w:pStyle w:val="Tijeloteksta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Obvezne bilješke uz bilancu iz čl. 15. Pravilnika o financijskom izvještavanju u proračunskom računovodstvu, ne iskazuju se jer Dječji vrtić Sveti Križ Začretje takve podatke nema iskazane u svojim poslovnim knjigama i bilanci.</w:t>
      </w:r>
    </w:p>
    <w:p w14:paraId="0B3A4E4B" w14:textId="77777777" w:rsidR="009560E7" w:rsidRDefault="009560E7" w:rsidP="001558EB">
      <w:pPr>
        <w:pStyle w:val="Tijeloteksta"/>
        <w:ind w:firstLine="604"/>
        <w:jc w:val="both"/>
        <w:rPr>
          <w:rFonts w:ascii="Times New Roman" w:hAnsi="Times New Roman" w:cs="Times New Roman"/>
          <w:sz w:val="24"/>
          <w:szCs w:val="24"/>
        </w:rPr>
      </w:pPr>
    </w:p>
    <w:p w14:paraId="0E3CBFDE" w14:textId="77777777" w:rsidR="009560E7" w:rsidRDefault="009560E7" w:rsidP="001558EB">
      <w:pPr>
        <w:pStyle w:val="Tijeloteksta"/>
        <w:ind w:firstLine="604"/>
        <w:jc w:val="both"/>
        <w:rPr>
          <w:rFonts w:ascii="Times New Roman" w:hAnsi="Times New Roman" w:cs="Times New Roman"/>
          <w:sz w:val="24"/>
          <w:szCs w:val="24"/>
        </w:rPr>
      </w:pPr>
    </w:p>
    <w:p w14:paraId="4045E0B2" w14:textId="71B4F5AE" w:rsidR="001558EB" w:rsidRDefault="001558EB" w:rsidP="00183619">
      <w:pPr>
        <w:pStyle w:val="Tijeloteksta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E404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022 i 02922 – Postrojenja i oprema</w:t>
      </w:r>
    </w:p>
    <w:p w14:paraId="53C9ED65" w14:textId="77777777" w:rsidR="001558EB" w:rsidRDefault="001558EB" w:rsidP="001558EB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A528A4" w14:textId="268D51D5" w:rsidR="001558EB" w:rsidRDefault="001558EB" w:rsidP="001558EB">
      <w:pPr>
        <w:pStyle w:val="Tijelotekst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7E4">
        <w:rPr>
          <w:rFonts w:ascii="Times New Roman" w:hAnsi="Times New Roman" w:cs="Times New Roman"/>
          <w:bCs/>
          <w:sz w:val="24"/>
          <w:szCs w:val="24"/>
        </w:rPr>
        <w:t>Isječak iz financijskog izvještaja - Bilanca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 w:rsidRPr="003D37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BEEDB4" w14:textId="77777777" w:rsidR="006E5A29" w:rsidRDefault="006E5A29" w:rsidP="001558EB">
      <w:pPr>
        <w:pStyle w:val="Tijeloteksta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075" w:type="dxa"/>
        <w:tblInd w:w="607" w:type="dxa"/>
        <w:tblLook w:val="04A0" w:firstRow="1" w:lastRow="0" w:firstColumn="1" w:lastColumn="0" w:noHBand="0" w:noVBand="1"/>
      </w:tblPr>
      <w:tblGrid>
        <w:gridCol w:w="988"/>
        <w:gridCol w:w="2473"/>
        <w:gridCol w:w="1417"/>
        <w:gridCol w:w="1134"/>
        <w:gridCol w:w="1276"/>
        <w:gridCol w:w="787"/>
      </w:tblGrid>
      <w:tr w:rsidR="001558EB" w:rsidRPr="00C26D16" w14:paraId="6379CCC5" w14:textId="77777777" w:rsidTr="0051263F">
        <w:trPr>
          <w:trHeight w:val="8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6CF356C6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</w:t>
            </w:r>
            <w:proofErr w:type="spellEnd"/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4E54CAF6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25FB21E6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noWrap/>
            <w:vAlign w:val="center"/>
            <w:hideMark/>
          </w:tcPr>
          <w:p w14:paraId="2E5048ED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1. siječnja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590A73CE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31. prosinca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1097929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  <w:r w:rsidRPr="00C26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1558EB" w:rsidRPr="00C26D16" w14:paraId="6FBB3CB3" w14:textId="77777777" w:rsidTr="0051263F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52B18838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7FC3ABCC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10A2C10D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4ED4C0A6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52EF9198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BB166A2" w14:textId="77777777" w:rsidR="001558EB" w:rsidRPr="00C26D16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26D16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CF48FD" w:rsidRPr="00C26D16" w14:paraId="32A68EA0" w14:textId="77777777" w:rsidTr="0051263F">
        <w:trPr>
          <w:trHeight w:val="240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</w:tcPr>
          <w:p w14:paraId="03C0DF81" w14:textId="77777777" w:rsidR="00CF48FD" w:rsidRPr="00C26D16" w:rsidRDefault="00CF48FD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</w:tcPr>
          <w:p w14:paraId="194B001A" w14:textId="77777777" w:rsidR="00CF48FD" w:rsidRPr="00C26D16" w:rsidRDefault="00CF48FD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</w:tcPr>
          <w:p w14:paraId="6D4FADAC" w14:textId="77777777" w:rsidR="00CF48FD" w:rsidRPr="00C26D16" w:rsidRDefault="00CF48FD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</w:tcPr>
          <w:p w14:paraId="24C6A396" w14:textId="77777777" w:rsidR="00CF48FD" w:rsidRPr="00C26D16" w:rsidRDefault="00CF48FD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</w:tcPr>
          <w:p w14:paraId="737E6DF5" w14:textId="77777777" w:rsidR="00CF48FD" w:rsidRPr="00C26D16" w:rsidRDefault="00CF48FD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</w:tcPr>
          <w:p w14:paraId="544D403F" w14:textId="77777777" w:rsidR="00CF48FD" w:rsidRPr="00C26D16" w:rsidRDefault="00CF48FD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</w:p>
        </w:tc>
      </w:tr>
      <w:tr w:rsidR="00CF48FD" w:rsidRPr="00C26D16" w14:paraId="66FB6BE4" w14:textId="77777777" w:rsidTr="00A86E2B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4C9DD468" w14:textId="3D0ADF50" w:rsidR="00CF48FD" w:rsidRDefault="00CF48FD" w:rsidP="00CF48F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5DEA74AB" w14:textId="6525C91E" w:rsidR="00CF48FD" w:rsidRDefault="00CF48FD" w:rsidP="00CF48FD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IMOVINA (šifre B002+1)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14:paraId="068AAAA0" w14:textId="75A1618E" w:rsidR="00CF48FD" w:rsidRDefault="00CF48FD" w:rsidP="00CF48F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10C08230" w14:textId="4B2886BC" w:rsidR="00CF48FD" w:rsidRDefault="00CF48FD" w:rsidP="00CF48F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157.807,41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444F188B" w14:textId="6CC5C7C4" w:rsidR="00CF48FD" w:rsidRDefault="00CF48FD" w:rsidP="00CF48F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165.622,51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D73AD" w14:textId="7A8D9280" w:rsidR="00CF48FD" w:rsidRDefault="00CF48FD" w:rsidP="00CF48FD">
            <w:pPr>
              <w:widowControl/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</w:t>
            </w:r>
          </w:p>
        </w:tc>
      </w:tr>
      <w:tr w:rsidR="009560E7" w:rsidRPr="00C26D16" w14:paraId="1CAE0BD3" w14:textId="77777777" w:rsidTr="00646E0E">
        <w:trPr>
          <w:trHeight w:val="255"/>
        </w:trPr>
        <w:tc>
          <w:tcPr>
            <w:tcW w:w="98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1495C9" w14:textId="0609C741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021 i 02921</w:t>
            </w:r>
          </w:p>
        </w:tc>
        <w:tc>
          <w:tcPr>
            <w:tcW w:w="24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C33C7A" w14:textId="376A1AF3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Građevinski objekti (šifre 0211 do 0214 - 02921)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F3E2EB" w14:textId="068FF11B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021 i 02921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4553FF7" w14:textId="259573EC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60.043,98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583C477" w14:textId="43831EF6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56.612,90</w:t>
            </w:r>
          </w:p>
        </w:tc>
        <w:tc>
          <w:tcPr>
            <w:tcW w:w="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4EBFC" w14:textId="0EB7484F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</w:tr>
      <w:tr w:rsidR="009560E7" w:rsidRPr="00C26D16" w14:paraId="534A54D7" w14:textId="77777777" w:rsidTr="006224B4">
        <w:trPr>
          <w:trHeight w:val="255"/>
        </w:trPr>
        <w:tc>
          <w:tcPr>
            <w:tcW w:w="98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C085912" w14:textId="70889868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0221</w:t>
            </w:r>
          </w:p>
        </w:tc>
        <w:tc>
          <w:tcPr>
            <w:tcW w:w="24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4DE2F4" w14:textId="4A58BA44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Uredska oprema i namještaj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2087533" w14:textId="0335067A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0221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984CEBC" w14:textId="31E6B27C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43.144,61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6FBFEC1" w14:textId="6B6E65AC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43.694,61</w:t>
            </w:r>
          </w:p>
        </w:tc>
        <w:tc>
          <w:tcPr>
            <w:tcW w:w="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900A4" w14:textId="6C390B34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101,3</w:t>
            </w:r>
          </w:p>
        </w:tc>
      </w:tr>
      <w:tr w:rsidR="009560E7" w:rsidRPr="00C26D16" w14:paraId="533F5D25" w14:textId="77777777" w:rsidTr="00DE1C41">
        <w:trPr>
          <w:trHeight w:val="255"/>
        </w:trPr>
        <w:tc>
          <w:tcPr>
            <w:tcW w:w="98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A59DF6" w14:textId="32716A2C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0222</w:t>
            </w:r>
          </w:p>
        </w:tc>
        <w:tc>
          <w:tcPr>
            <w:tcW w:w="24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A9C8C0" w14:textId="4102EF4E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Komunikacijska oprema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587342F" w14:textId="201D434C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0222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EE9BF05" w14:textId="5454D78B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1.875,79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8521BC0" w14:textId="39B82BF3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1.875,79</w:t>
            </w:r>
          </w:p>
        </w:tc>
        <w:tc>
          <w:tcPr>
            <w:tcW w:w="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F752F" w14:textId="26E1302E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560E7" w:rsidRPr="00C26D16" w14:paraId="194D6907" w14:textId="77777777" w:rsidTr="0090720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FD3A985" w14:textId="2105DA49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0226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1B285C" w14:textId="5D9EC59D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Sportska i glazbena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AE8317B" w14:textId="13B8D94A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BF1046" w14:textId="568B18A9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1.061,78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E05067" w14:textId="314D60EA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1.061,78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96CBD" w14:textId="0CAA0740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560E7" w:rsidRPr="00C26D16" w14:paraId="1DF9DA3E" w14:textId="77777777" w:rsidTr="0090720C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9C2E744" w14:textId="74410E39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0227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2EFE9C" w14:textId="61EC3ECA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EA7786" w14:textId="72E65BF9" w:rsidR="009560E7" w:rsidRPr="00C26D16" w:rsidRDefault="009560E7" w:rsidP="009560E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F802C7" w14:textId="2114AB3F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54.123,86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8F87DA" w14:textId="104406EE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62.086,00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B7DE7" w14:textId="20843214" w:rsidR="009560E7" w:rsidRPr="00C26D16" w:rsidRDefault="009560E7" w:rsidP="009560E7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114,7</w:t>
            </w:r>
          </w:p>
        </w:tc>
      </w:tr>
    </w:tbl>
    <w:p w14:paraId="3F3AD837" w14:textId="77777777" w:rsidR="001558EB" w:rsidRPr="00C26D16" w:rsidRDefault="001558EB" w:rsidP="001558EB">
      <w:pPr>
        <w:pStyle w:val="Tijelotekst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4D02C8" w14:textId="01D19142" w:rsidR="001558EB" w:rsidRPr="003E201C" w:rsidRDefault="00CF48FD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C66BD">
        <w:rPr>
          <w:rFonts w:ascii="Times New Roman" w:hAnsi="Times New Roman" w:cs="Times New Roman"/>
          <w:bCs/>
          <w:sz w:val="24"/>
          <w:szCs w:val="24"/>
        </w:rPr>
        <w:t xml:space="preserve">Iz priložene tablice može se vidjeti da je ukupna vrijednost imovine 165.622,51 </w:t>
      </w:r>
      <w:proofErr w:type="spellStart"/>
      <w:r w:rsidRPr="004C66BD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4C66BD">
        <w:rPr>
          <w:rFonts w:ascii="Times New Roman" w:hAnsi="Times New Roman" w:cs="Times New Roman"/>
          <w:bCs/>
          <w:sz w:val="24"/>
          <w:szCs w:val="24"/>
        </w:rPr>
        <w:t>. O</w:t>
      </w:r>
      <w:r w:rsidR="004C66BD" w:rsidRPr="004C66BD">
        <w:rPr>
          <w:rFonts w:ascii="Times New Roman" w:hAnsi="Times New Roman" w:cs="Times New Roman"/>
          <w:bCs/>
          <w:sz w:val="24"/>
          <w:szCs w:val="24"/>
        </w:rPr>
        <w:t xml:space="preserve">d većih nabava može se istaknuti nabava uređaja, strojeva i opreme za ostale namjene te je iz tog razloga indeks u 2024. godini veći za 14,7% u odnosu na prethodnu godinu. </w:t>
      </w:r>
      <w:r w:rsidR="001558EB" w:rsidRPr="004C66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967CBF" w14:textId="77777777" w:rsidR="0066176F" w:rsidRDefault="0066176F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5C5689" w14:textId="77777777" w:rsidR="0066176F" w:rsidRDefault="0066176F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77178B" w14:textId="6B75AD89" w:rsidR="0066176F" w:rsidRPr="0066176F" w:rsidRDefault="0066176F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76F">
        <w:rPr>
          <w:rFonts w:ascii="Times New Roman" w:hAnsi="Times New Roman" w:cs="Times New Roman"/>
          <w:b/>
          <w:sz w:val="24"/>
          <w:szCs w:val="24"/>
          <w:u w:val="single"/>
        </w:rPr>
        <w:t>Bilješka broj 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6176F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šifre 026 i 02926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66176F">
        <w:rPr>
          <w:rFonts w:ascii="Times New Roman" w:hAnsi="Times New Roman" w:cs="Times New Roman"/>
          <w:b/>
          <w:sz w:val="24"/>
          <w:szCs w:val="24"/>
          <w:u w:val="single"/>
        </w:rPr>
        <w:t>Nematerijalna proizvedena imovina</w:t>
      </w:r>
    </w:p>
    <w:p w14:paraId="3370A466" w14:textId="77777777" w:rsidR="001558EB" w:rsidRDefault="001558EB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CBFCA" w14:textId="27418C90" w:rsidR="0066176F" w:rsidRDefault="0066176F" w:rsidP="0066176F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7E4">
        <w:rPr>
          <w:rFonts w:ascii="Times New Roman" w:hAnsi="Times New Roman" w:cs="Times New Roman"/>
          <w:bCs/>
          <w:sz w:val="24"/>
          <w:szCs w:val="24"/>
        </w:rPr>
        <w:t>Isječak iz financijskog izvještaja - Bilanca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61BFE7" w14:textId="77777777" w:rsidR="006E5A29" w:rsidRDefault="006E5A29" w:rsidP="0066176F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080" w:type="dxa"/>
        <w:tblInd w:w="615" w:type="dxa"/>
        <w:tblLook w:val="04A0" w:firstRow="1" w:lastRow="0" w:firstColumn="1" w:lastColumn="0" w:noHBand="0" w:noVBand="1"/>
      </w:tblPr>
      <w:tblGrid>
        <w:gridCol w:w="815"/>
        <w:gridCol w:w="2509"/>
        <w:gridCol w:w="1418"/>
        <w:gridCol w:w="1276"/>
        <w:gridCol w:w="1275"/>
        <w:gridCol w:w="787"/>
      </w:tblGrid>
      <w:tr w:rsidR="0066176F" w:rsidRPr="00F0087D" w14:paraId="1A6DDFCB" w14:textId="77777777" w:rsidTr="00B1752A">
        <w:trPr>
          <w:trHeight w:val="9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3D1875E6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</w:t>
            </w:r>
            <w:proofErr w:type="spellEnd"/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6E6FD64A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537CB7A3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noWrap/>
            <w:vAlign w:val="center"/>
            <w:hideMark/>
          </w:tcPr>
          <w:p w14:paraId="729DD1A3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1. siječnja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2B8049DC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31. prosinca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39E4945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66176F" w:rsidRPr="00F0087D" w14:paraId="5976C9C2" w14:textId="77777777" w:rsidTr="00B1752A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042F2ED0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2123A0A8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6ED6FE42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48E510C7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16C1843A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8FA680F" w14:textId="77777777" w:rsidR="0066176F" w:rsidRPr="00F0087D" w:rsidRDefault="0066176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66176F" w:rsidRPr="00F0087D" w14:paraId="4DFC649F" w14:textId="77777777" w:rsidTr="00B1752A">
        <w:trPr>
          <w:trHeight w:val="255"/>
        </w:trPr>
        <w:tc>
          <w:tcPr>
            <w:tcW w:w="81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270E2A" w14:textId="35D260F4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0262</w:t>
            </w:r>
          </w:p>
        </w:tc>
        <w:tc>
          <w:tcPr>
            <w:tcW w:w="25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E57304F" w14:textId="0637F2B6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Ulaganja u računalne programe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1E51261" w14:textId="2527B08A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0262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BFED840" w14:textId="36C8DC8E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7.786,37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BACDE5" w14:textId="7A13DA0F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8.086,37</w:t>
            </w:r>
          </w:p>
        </w:tc>
        <w:tc>
          <w:tcPr>
            <w:tcW w:w="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977FA" w14:textId="599AB089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103,9</w:t>
            </w:r>
          </w:p>
        </w:tc>
      </w:tr>
      <w:tr w:rsidR="0066176F" w:rsidRPr="00F0087D" w14:paraId="2DE6B01D" w14:textId="77777777" w:rsidTr="0075363B">
        <w:trPr>
          <w:trHeight w:val="255"/>
        </w:trPr>
        <w:tc>
          <w:tcPr>
            <w:tcW w:w="81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AD0771" w14:textId="790CCF39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02926</w:t>
            </w:r>
          </w:p>
        </w:tc>
        <w:tc>
          <w:tcPr>
            <w:tcW w:w="25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7037888" w14:textId="141B9415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nematerijalne proizvedene imovine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33C442" w14:textId="5EC845E4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02926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BFD036D" w14:textId="368963B1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3.819,24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79325C" w14:textId="698260B1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5.534,58</w:t>
            </w:r>
          </w:p>
        </w:tc>
        <w:tc>
          <w:tcPr>
            <w:tcW w:w="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DAB05" w14:textId="0E8355B4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144,9</w:t>
            </w:r>
          </w:p>
        </w:tc>
      </w:tr>
    </w:tbl>
    <w:p w14:paraId="21FA0D88" w14:textId="77777777" w:rsidR="008F765F" w:rsidRDefault="008F765F" w:rsidP="00934D89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DE3123" w14:textId="77777777" w:rsidR="004C66BD" w:rsidRDefault="003E201C" w:rsidP="004C66BD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01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C66BD" w:rsidRPr="004C66BD">
        <w:rPr>
          <w:rFonts w:ascii="Times New Roman" w:hAnsi="Times New Roman" w:cs="Times New Roman"/>
          <w:bCs/>
          <w:sz w:val="24"/>
          <w:szCs w:val="24"/>
        </w:rPr>
        <w:t>Šifra 0262 – ulaganja u računalne programe pokazuje indeks od 3,9% veći u odnosu na prethodnu godinu zbog nabave dogradnje programa transparentno.</w:t>
      </w:r>
    </w:p>
    <w:p w14:paraId="4BCEF219" w14:textId="3E359379" w:rsidR="004C66BD" w:rsidRPr="004C66BD" w:rsidRDefault="004C66BD" w:rsidP="004C66BD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02926 –</w:t>
      </w:r>
      <w:r w:rsidRPr="004C66BD">
        <w:rPr>
          <w:rFonts w:ascii="Times New Roman" w:hAnsi="Times New Roman" w:cs="Times New Roman"/>
          <w:bCs/>
          <w:sz w:val="24"/>
          <w:szCs w:val="24"/>
        </w:rPr>
        <w:t xml:space="preserve"> Ispravak vrijednosti nematerijalne proizvedene imovine iznosi 5.534,58 eura što je za 44,9% više nego prethodne godine.</w:t>
      </w:r>
    </w:p>
    <w:p w14:paraId="37D00357" w14:textId="77777777" w:rsidR="008F765F" w:rsidRDefault="008F765F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DA2CE9" w14:textId="77777777" w:rsidR="006E5A29" w:rsidRDefault="006E5A29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6B92B7" w14:textId="403DC82C" w:rsidR="001558EB" w:rsidRDefault="001558EB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E404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i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Sitni inventar u upotrebi i Ispravak vrijednosti </w:t>
      </w:r>
    </w:p>
    <w:p w14:paraId="21E822C4" w14:textId="77777777" w:rsidR="001558EB" w:rsidRPr="00F0087D" w:rsidRDefault="001558EB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087D">
        <w:rPr>
          <w:rFonts w:ascii="Times New Roman" w:hAnsi="Times New Roman" w:cs="Times New Roman"/>
          <w:b/>
          <w:sz w:val="24"/>
          <w:szCs w:val="24"/>
          <w:u w:val="single"/>
        </w:rPr>
        <w:t>sitnog inventara</w:t>
      </w:r>
    </w:p>
    <w:p w14:paraId="618A7A17" w14:textId="77777777" w:rsidR="001558EB" w:rsidRDefault="001558EB" w:rsidP="001558EB">
      <w:pPr>
        <w:pStyle w:val="Tijeloteksta"/>
        <w:spacing w:before="2"/>
        <w:rPr>
          <w:rFonts w:ascii="Times New Roman" w:hAnsi="Times New Roman" w:cs="Times New Roman"/>
          <w:bCs/>
          <w:sz w:val="24"/>
          <w:szCs w:val="24"/>
        </w:rPr>
      </w:pPr>
    </w:p>
    <w:p w14:paraId="187AA9BC" w14:textId="3A549307" w:rsidR="001558EB" w:rsidRDefault="001558EB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7E4">
        <w:rPr>
          <w:rFonts w:ascii="Times New Roman" w:hAnsi="Times New Roman" w:cs="Times New Roman"/>
          <w:bCs/>
          <w:sz w:val="24"/>
          <w:szCs w:val="24"/>
        </w:rPr>
        <w:t>Isječak iz financijskog izvještaja - Bilanca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89F313" w14:textId="77777777" w:rsidR="006E5A29" w:rsidRDefault="006E5A29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080" w:type="dxa"/>
        <w:tblInd w:w="615" w:type="dxa"/>
        <w:tblLook w:val="04A0" w:firstRow="1" w:lastRow="0" w:firstColumn="1" w:lastColumn="0" w:noHBand="0" w:noVBand="1"/>
      </w:tblPr>
      <w:tblGrid>
        <w:gridCol w:w="815"/>
        <w:gridCol w:w="2509"/>
        <w:gridCol w:w="1418"/>
        <w:gridCol w:w="1276"/>
        <w:gridCol w:w="1275"/>
        <w:gridCol w:w="787"/>
      </w:tblGrid>
      <w:tr w:rsidR="001558EB" w:rsidRPr="00F0087D" w14:paraId="67B53141" w14:textId="77777777" w:rsidTr="0051263F">
        <w:trPr>
          <w:trHeight w:val="9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6C8F5F4B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bookmarkStart w:id="0" w:name="_Hlk188443075"/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</w:t>
            </w:r>
            <w:proofErr w:type="spellEnd"/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5347A1CD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7E17227D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noWrap/>
            <w:vAlign w:val="center"/>
            <w:hideMark/>
          </w:tcPr>
          <w:p w14:paraId="589320A0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1. siječnja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1F5786D9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31. prosinca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BDCFBCF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  <w:r w:rsidRPr="00F00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1558EB" w:rsidRPr="00F0087D" w14:paraId="23FBA43E" w14:textId="77777777" w:rsidTr="0051263F">
        <w:trPr>
          <w:trHeight w:val="240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2D2F6A99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0F193D36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564DFAFC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08A2827F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5D74F9A8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B9A92B9" w14:textId="77777777" w:rsidR="001558EB" w:rsidRPr="00F0087D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0087D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66176F" w:rsidRPr="00F0087D" w14:paraId="06005C51" w14:textId="77777777" w:rsidTr="00026716">
        <w:trPr>
          <w:trHeight w:val="255"/>
        </w:trPr>
        <w:tc>
          <w:tcPr>
            <w:tcW w:w="81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7D89AB2" w14:textId="293E241C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042</w:t>
            </w:r>
          </w:p>
        </w:tc>
        <w:tc>
          <w:tcPr>
            <w:tcW w:w="25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BB34CAC" w14:textId="11F857B8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Sitni inventar i auto gume u upotrebi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8912A31" w14:textId="5221C3C5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042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0C6D20" w14:textId="28F49263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22.999,30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BC31780" w14:textId="347DF719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25.718,13</w:t>
            </w:r>
          </w:p>
        </w:tc>
        <w:tc>
          <w:tcPr>
            <w:tcW w:w="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97027" w14:textId="63B9310C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111,8</w:t>
            </w:r>
          </w:p>
        </w:tc>
      </w:tr>
      <w:tr w:rsidR="0066176F" w:rsidRPr="00F0087D" w14:paraId="008F7F6B" w14:textId="77777777" w:rsidTr="00026716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6E2423A" w14:textId="314BB571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049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1138AC1" w14:textId="02221FC4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Ispravak vrijednosti sitnog inventara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5BEE63B" w14:textId="3780BD9C" w:rsidR="0066176F" w:rsidRPr="00F0087D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93304A" w14:textId="78DF3D24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22.999,30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4B04BF7" w14:textId="643147A1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25.718,13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F2EB5" w14:textId="7AFF0AD4" w:rsidR="0066176F" w:rsidRPr="00F0087D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111,8</w:t>
            </w:r>
          </w:p>
        </w:tc>
      </w:tr>
      <w:bookmarkEnd w:id="0"/>
    </w:tbl>
    <w:p w14:paraId="1C17DF0D" w14:textId="77777777" w:rsidR="001558EB" w:rsidRDefault="001558EB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07B2CC" w14:textId="321A5045" w:rsidR="003E201C" w:rsidRDefault="001558EB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U navedenoj tablici vidljivo je </w:t>
      </w:r>
      <w:r w:rsidR="00C25BE8">
        <w:rPr>
          <w:rFonts w:ascii="Times New Roman" w:hAnsi="Times New Roman" w:cs="Times New Roman"/>
          <w:bCs/>
          <w:sz w:val="24"/>
          <w:szCs w:val="24"/>
        </w:rPr>
        <w:t>povećanje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vrijednosti sitnog inventara u upotrebi i ispravka vrijednosti sitnog inventara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godine </w:t>
      </w:r>
      <w:r w:rsidR="00C25BE8">
        <w:rPr>
          <w:rFonts w:ascii="Times New Roman" w:hAnsi="Times New Roman" w:cs="Times New Roman"/>
          <w:bCs/>
          <w:sz w:val="24"/>
          <w:szCs w:val="24"/>
        </w:rPr>
        <w:t xml:space="preserve">za 11,8% </w:t>
      </w:r>
      <w:r>
        <w:rPr>
          <w:rFonts w:ascii="Times New Roman" w:hAnsi="Times New Roman" w:cs="Times New Roman"/>
          <w:bCs/>
          <w:sz w:val="24"/>
          <w:szCs w:val="24"/>
        </w:rPr>
        <w:t>u odnosu na početak godine</w:t>
      </w:r>
      <w:r w:rsidR="007C77D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EB1C4A" w14:textId="77777777" w:rsidR="003E201C" w:rsidRDefault="003E201C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62DE5" w14:textId="77777777" w:rsidR="006E5A29" w:rsidRDefault="006E5A29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974D7" w14:textId="77777777" w:rsidR="006E5A29" w:rsidRDefault="006E5A29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CB1157" w14:textId="77777777" w:rsidR="006E5A29" w:rsidRDefault="006E5A29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F96439" w14:textId="77777777" w:rsidR="00093EC8" w:rsidRDefault="00093EC8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A2FF65" w14:textId="77777777" w:rsidR="007C77D9" w:rsidRDefault="007C77D9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6E155" w14:textId="77777777" w:rsidR="007C77D9" w:rsidRDefault="007C77D9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9E8FC6" w14:textId="77777777" w:rsidR="006E5A29" w:rsidRDefault="006E5A29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826BB" w14:textId="77777777" w:rsidR="003E201C" w:rsidRDefault="003E201C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51BB7" w14:textId="182CB0D6" w:rsidR="001558EB" w:rsidRDefault="001558EB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broj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04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111</w:t>
      </w:r>
      <w:r w:rsidRPr="00C26D1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Novac u banci, šifra 129 ostala potraživanja </w:t>
      </w:r>
    </w:p>
    <w:p w14:paraId="1F050609" w14:textId="77777777" w:rsidR="001558EB" w:rsidRDefault="001558EB" w:rsidP="001558EB">
      <w:pPr>
        <w:pStyle w:val="Tijeloteksta"/>
        <w:spacing w:before="2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556D9" w14:textId="2CC00E76" w:rsidR="001558EB" w:rsidRDefault="001558EB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7E4">
        <w:rPr>
          <w:rFonts w:ascii="Times New Roman" w:hAnsi="Times New Roman" w:cs="Times New Roman"/>
          <w:bCs/>
          <w:sz w:val="24"/>
          <w:szCs w:val="24"/>
        </w:rPr>
        <w:t>Isječak iz financijskog izvještaja - Bilanca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94DB78" w14:textId="77777777" w:rsidR="006E5A29" w:rsidRDefault="006E5A29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084" w:type="dxa"/>
        <w:tblInd w:w="562" w:type="dxa"/>
        <w:tblLook w:val="04A0" w:firstRow="1" w:lastRow="0" w:firstColumn="1" w:lastColumn="0" w:noHBand="0" w:noVBand="1"/>
      </w:tblPr>
      <w:tblGrid>
        <w:gridCol w:w="833"/>
        <w:gridCol w:w="2354"/>
        <w:gridCol w:w="1559"/>
        <w:gridCol w:w="1134"/>
        <w:gridCol w:w="1350"/>
        <w:gridCol w:w="854"/>
      </w:tblGrid>
      <w:tr w:rsidR="001558EB" w:rsidRPr="00F75CD2" w14:paraId="5D67E69F" w14:textId="77777777" w:rsidTr="0051263F">
        <w:trPr>
          <w:trHeight w:val="9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33B4CCD7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</w:t>
            </w:r>
            <w:proofErr w:type="spellEnd"/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3A23155E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6EF79901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noWrap/>
            <w:vAlign w:val="center"/>
            <w:hideMark/>
          </w:tcPr>
          <w:p w14:paraId="2BB59DBF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1. siječnja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71716EE4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31. prosinca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7B81E1C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  <w:r w:rsidRPr="00F75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1558EB" w:rsidRPr="00F75CD2" w14:paraId="08F81FB7" w14:textId="77777777" w:rsidTr="0051263F">
        <w:trPr>
          <w:trHeight w:val="24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7607426B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0F8BE8DA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0570AEEB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4EF317EE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5EE9E5E4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E255343" w14:textId="77777777" w:rsidR="001558EB" w:rsidRPr="00F75CD2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75CD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66176F" w:rsidRPr="00F75CD2" w14:paraId="6D835F1B" w14:textId="77777777" w:rsidTr="00CE5A81">
        <w:trPr>
          <w:trHeight w:val="255"/>
        </w:trPr>
        <w:tc>
          <w:tcPr>
            <w:tcW w:w="83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1E551F3" w14:textId="103E197F" w:rsidR="0066176F" w:rsidRPr="00F75CD2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3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85A008" w14:textId="6C2DE27F" w:rsidR="0066176F" w:rsidRPr="00F75CD2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Novac u banci (šifre 1111 do 1114)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593B0F" w14:textId="23D6007A" w:rsidR="0066176F" w:rsidRPr="00F75CD2" w:rsidRDefault="0066176F" w:rsidP="0066176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43B745C" w14:textId="320D57C1" w:rsidR="0066176F" w:rsidRPr="00F75CD2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26.520,17</w:t>
            </w:r>
          </w:p>
        </w:tc>
        <w:tc>
          <w:tcPr>
            <w:tcW w:w="13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7EBB2F5" w14:textId="38A700F7" w:rsidR="0066176F" w:rsidRPr="00F75CD2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24.662,56</w:t>
            </w:r>
          </w:p>
        </w:tc>
        <w:tc>
          <w:tcPr>
            <w:tcW w:w="8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D2A0F" w14:textId="25FF8050" w:rsidR="0066176F" w:rsidRPr="00F75CD2" w:rsidRDefault="0066176F" w:rsidP="0066176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</w:tr>
      <w:tr w:rsidR="00712D05" w:rsidRPr="00601BD7" w14:paraId="08AEA081" w14:textId="77777777" w:rsidTr="00424FCE">
        <w:trPr>
          <w:trHeight w:val="255"/>
        </w:trPr>
        <w:tc>
          <w:tcPr>
            <w:tcW w:w="83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E490F5" w14:textId="5516E078" w:rsidR="00712D05" w:rsidRPr="00601BD7" w:rsidRDefault="00712D05" w:rsidP="00712D05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3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99F479" w14:textId="5BDFEE03" w:rsidR="00712D05" w:rsidRPr="00601BD7" w:rsidRDefault="00712D05" w:rsidP="00712D05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Ostala potraživanja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44AE41" w14:textId="70E8E9B7" w:rsidR="00712D05" w:rsidRPr="00601BD7" w:rsidRDefault="00712D05" w:rsidP="00712D0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0DDEDD3" w14:textId="68E50DC9" w:rsidR="00712D05" w:rsidRPr="00601BD7" w:rsidRDefault="00712D05" w:rsidP="00712D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128,42</w:t>
            </w:r>
          </w:p>
        </w:tc>
        <w:tc>
          <w:tcPr>
            <w:tcW w:w="13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F97504" w14:textId="09CCB441" w:rsidR="00712D05" w:rsidRPr="00601BD7" w:rsidRDefault="00712D05" w:rsidP="00712D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134,53</w:t>
            </w:r>
          </w:p>
        </w:tc>
        <w:tc>
          <w:tcPr>
            <w:tcW w:w="8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B1198" w14:textId="64EB4CEA" w:rsidR="00712D05" w:rsidRPr="00601BD7" w:rsidRDefault="00712D05" w:rsidP="00712D0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</w:tr>
    </w:tbl>
    <w:p w14:paraId="2E5035C1" w14:textId="77777777" w:rsidR="001558EB" w:rsidRDefault="001558EB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2AEC20" w14:textId="77777777" w:rsidR="001558EB" w:rsidRDefault="001558EB" w:rsidP="001558EB">
      <w:pPr>
        <w:pStyle w:val="Tijeloteksta"/>
        <w:spacing w:before="2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BD7">
        <w:rPr>
          <w:rFonts w:ascii="Times New Roman" w:hAnsi="Times New Roman" w:cs="Times New Roman"/>
          <w:bCs/>
          <w:sz w:val="24"/>
          <w:szCs w:val="24"/>
        </w:rPr>
        <w:t>Financijska imovina između ostalog sastoji se od stanja novca na računu i blagajni, potraživanja, rashoda budućih razdoblja i nedospjele naplate prihoda.</w:t>
      </w:r>
    </w:p>
    <w:p w14:paraId="47B17E9C" w14:textId="6A807766" w:rsidR="001558EB" w:rsidRDefault="001558EB" w:rsidP="001558EB">
      <w:pPr>
        <w:pStyle w:val="Tijeloteksta"/>
        <w:spacing w:before="2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111 Novac u banci na dan 31.12.202</w:t>
      </w:r>
      <w:r w:rsidR="007C77D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iznosi </w:t>
      </w:r>
      <w:r w:rsidR="001662E7">
        <w:rPr>
          <w:rFonts w:ascii="Times New Roman" w:hAnsi="Times New Roman" w:cs="Times New Roman"/>
          <w:bCs/>
          <w:sz w:val="24"/>
          <w:szCs w:val="24"/>
        </w:rPr>
        <w:t>24.662,56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dok je na početku godine iznosila </w:t>
      </w:r>
      <w:r w:rsidR="001662E7">
        <w:rPr>
          <w:rFonts w:ascii="Times New Roman" w:hAnsi="Times New Roman" w:cs="Times New Roman"/>
          <w:bCs/>
          <w:sz w:val="24"/>
          <w:szCs w:val="24"/>
        </w:rPr>
        <w:t>26.520,17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što je indeks </w:t>
      </w:r>
      <w:r w:rsidR="001662E7">
        <w:rPr>
          <w:rFonts w:ascii="Times New Roman" w:hAnsi="Times New Roman" w:cs="Times New Roman"/>
          <w:bCs/>
          <w:sz w:val="24"/>
          <w:szCs w:val="24"/>
        </w:rPr>
        <w:t>smanje</w:t>
      </w:r>
      <w:r>
        <w:rPr>
          <w:rFonts w:ascii="Times New Roman" w:hAnsi="Times New Roman" w:cs="Times New Roman"/>
          <w:bCs/>
          <w:sz w:val="24"/>
          <w:szCs w:val="24"/>
        </w:rPr>
        <w:t xml:space="preserve">nja od </w:t>
      </w:r>
      <w:r w:rsidR="00712D05">
        <w:rPr>
          <w:rFonts w:ascii="Times New Roman" w:hAnsi="Times New Roman" w:cs="Times New Roman"/>
          <w:bCs/>
          <w:sz w:val="24"/>
          <w:szCs w:val="24"/>
        </w:rPr>
        <w:t>7,0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="007C77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531197" w14:textId="11424E9A" w:rsidR="001558EB" w:rsidRDefault="001558EB" w:rsidP="001558EB">
      <w:pPr>
        <w:pStyle w:val="Tijeloteksta"/>
        <w:spacing w:before="2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</w:t>
      </w:r>
      <w:r w:rsidR="00712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129</w:t>
      </w:r>
      <w:r w:rsidR="00712D0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Ostala potraživanja odnose se na potraživanja od Hrvatskog zavoda za zdravstveno osiguranje za bolovanja duža od 42 dana. Ove godine je iznos potraživanja </w:t>
      </w:r>
      <w:r w:rsidR="00712D05">
        <w:rPr>
          <w:rFonts w:ascii="Times New Roman" w:hAnsi="Times New Roman" w:cs="Times New Roman"/>
          <w:bCs/>
          <w:sz w:val="24"/>
          <w:szCs w:val="24"/>
        </w:rPr>
        <w:t>veći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712D05">
        <w:rPr>
          <w:rFonts w:ascii="Times New Roman" w:hAnsi="Times New Roman" w:cs="Times New Roman"/>
          <w:bCs/>
          <w:sz w:val="24"/>
          <w:szCs w:val="24"/>
        </w:rPr>
        <w:t>4,8%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D05">
        <w:rPr>
          <w:rFonts w:ascii="Times New Roman" w:hAnsi="Times New Roman" w:cs="Times New Roman"/>
          <w:bCs/>
          <w:sz w:val="24"/>
          <w:szCs w:val="24"/>
        </w:rPr>
        <w:t>u odnosu na</w:t>
      </w:r>
      <w:r>
        <w:rPr>
          <w:rFonts w:ascii="Times New Roman" w:hAnsi="Times New Roman" w:cs="Times New Roman"/>
          <w:bCs/>
          <w:sz w:val="24"/>
          <w:szCs w:val="24"/>
        </w:rPr>
        <w:t xml:space="preserve"> prošl</w:t>
      </w:r>
      <w:r w:rsidR="00712D05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godine.</w:t>
      </w:r>
    </w:p>
    <w:p w14:paraId="19A9DA99" w14:textId="77777777" w:rsidR="006E5A29" w:rsidRDefault="006E5A29" w:rsidP="001558EB">
      <w:pPr>
        <w:pStyle w:val="Tijeloteksta"/>
        <w:spacing w:before="2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8C422" w14:textId="77777777" w:rsidR="001558EB" w:rsidRDefault="001558EB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C4FBE9" w14:textId="6BC4B2AC" w:rsidR="004E0E5F" w:rsidRDefault="004E0E5F" w:rsidP="00EF6B7C">
      <w:pPr>
        <w:pStyle w:val="Tijeloteksta"/>
        <w:spacing w:before="2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449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42449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r w:rsidRPr="00C4244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Potraživanja za upravne i administrativne pristojbe, pristojbe po posebnim propisima i naknade</w:t>
      </w:r>
    </w:p>
    <w:p w14:paraId="7000D609" w14:textId="77777777" w:rsidR="004E0E5F" w:rsidRDefault="004E0E5F" w:rsidP="004E0E5F">
      <w:pPr>
        <w:pStyle w:val="Tijeloteksta"/>
        <w:spacing w:before="2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20008B" w14:textId="590F7FC6" w:rsidR="004E0E5F" w:rsidRDefault="004E0E5F" w:rsidP="004E0E5F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7E4">
        <w:rPr>
          <w:rFonts w:ascii="Times New Roman" w:hAnsi="Times New Roman" w:cs="Times New Roman"/>
          <w:bCs/>
          <w:sz w:val="24"/>
          <w:szCs w:val="24"/>
        </w:rPr>
        <w:t>Isječak iz financijskog izvještaja - Bilanca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C08B8C" w14:textId="77777777" w:rsidR="006E5A29" w:rsidRDefault="006E5A29" w:rsidP="004E0E5F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080" w:type="dxa"/>
        <w:tblInd w:w="562" w:type="dxa"/>
        <w:tblLook w:val="04A0" w:firstRow="1" w:lastRow="0" w:firstColumn="1" w:lastColumn="0" w:noHBand="0" w:noVBand="1"/>
      </w:tblPr>
      <w:tblGrid>
        <w:gridCol w:w="838"/>
        <w:gridCol w:w="2281"/>
        <w:gridCol w:w="1559"/>
        <w:gridCol w:w="1276"/>
        <w:gridCol w:w="1276"/>
        <w:gridCol w:w="850"/>
      </w:tblGrid>
      <w:tr w:rsidR="004E0E5F" w:rsidRPr="00C42449" w14:paraId="3B21FD06" w14:textId="77777777" w:rsidTr="00B1752A">
        <w:trPr>
          <w:trHeight w:val="96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0A61C415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</w:t>
            </w:r>
            <w:proofErr w:type="spellEnd"/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63ABFD11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58187228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noWrap/>
            <w:vAlign w:val="center"/>
            <w:hideMark/>
          </w:tcPr>
          <w:p w14:paraId="3CE04179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1. siječnja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023C89BD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31. prosinca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77CD5C6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4E0E5F" w:rsidRPr="00C42449" w14:paraId="36C75E0A" w14:textId="77777777" w:rsidTr="00B1752A">
        <w:trPr>
          <w:trHeight w:val="240"/>
        </w:trPr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21F4B5D5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43F08060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7C79AE1A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6319035E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51A32AF4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BB3AB81" w14:textId="77777777" w:rsidR="004E0E5F" w:rsidRPr="00C42449" w:rsidRDefault="004E0E5F" w:rsidP="00B1752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4E0E5F" w:rsidRPr="00C42449" w14:paraId="6DB21A8F" w14:textId="77777777" w:rsidTr="00D93A08">
        <w:trPr>
          <w:trHeight w:val="255"/>
        </w:trPr>
        <w:tc>
          <w:tcPr>
            <w:tcW w:w="83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6F67F2" w14:textId="69D12514" w:rsidR="004E0E5F" w:rsidRPr="00C42449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228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F37F3C" w14:textId="666C92FE" w:rsidR="004E0E5F" w:rsidRPr="00C42449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Potraživanja za upravne i administrativne pristojbe, pristojbe po posebnim propisima i naknade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5651635" w14:textId="0C888BE2" w:rsidR="004E0E5F" w:rsidRPr="00C42449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11E14C" w14:textId="3FB84BD1" w:rsidR="004E0E5F" w:rsidRPr="00C42449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3.662,24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FCE59F" w14:textId="1492B3EA" w:rsidR="004E0E5F" w:rsidRPr="00C42449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1.590,53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1C367" w14:textId="1406EFCF" w:rsidR="004E0E5F" w:rsidRPr="00C42449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</w:tr>
    </w:tbl>
    <w:p w14:paraId="159526E6" w14:textId="77777777" w:rsidR="004E0E5F" w:rsidRDefault="004E0E5F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2E3AD" w14:textId="755B3654" w:rsidR="004E0E5F" w:rsidRDefault="00712D05" w:rsidP="00712D05">
      <w:pPr>
        <w:pStyle w:val="Tijeloteksta"/>
        <w:spacing w:before="2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Šifra  165 – Potraživanja za upravne i administrativne pristojbe, pristojbe po posebnim propisima i naknade iznose 1.590,53 eura, a odnose se na potraživanje od roditelja za sufinanciranje cijene usluga boravka djece u Vrtiću.</w:t>
      </w:r>
    </w:p>
    <w:p w14:paraId="4FD43760" w14:textId="77777777" w:rsidR="004E0E5F" w:rsidRDefault="004E0E5F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ECDC1C" w14:textId="77777777" w:rsidR="004E0E5F" w:rsidRDefault="004E0E5F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9128F" w14:textId="06DBE114" w:rsidR="001558EB" w:rsidRDefault="001558EB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42449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E404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42449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193 – Kontinuirani rashodi budućeg razdoblja</w:t>
      </w:r>
    </w:p>
    <w:p w14:paraId="4F49D95B" w14:textId="77777777" w:rsidR="001558EB" w:rsidRDefault="001558EB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2456FE" w14:textId="6B2DFDDF" w:rsidR="001558EB" w:rsidRDefault="001558EB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7E4">
        <w:rPr>
          <w:rFonts w:ascii="Times New Roman" w:hAnsi="Times New Roman" w:cs="Times New Roman"/>
          <w:bCs/>
          <w:sz w:val="24"/>
          <w:szCs w:val="24"/>
        </w:rPr>
        <w:t>Isječak iz financijskog izvještaja - Bilanca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B03778" w14:textId="77777777" w:rsidR="006E5A29" w:rsidRDefault="006E5A29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080" w:type="dxa"/>
        <w:tblInd w:w="562" w:type="dxa"/>
        <w:tblLook w:val="04A0" w:firstRow="1" w:lastRow="0" w:firstColumn="1" w:lastColumn="0" w:noHBand="0" w:noVBand="1"/>
      </w:tblPr>
      <w:tblGrid>
        <w:gridCol w:w="838"/>
        <w:gridCol w:w="2281"/>
        <w:gridCol w:w="1559"/>
        <w:gridCol w:w="1276"/>
        <w:gridCol w:w="1276"/>
        <w:gridCol w:w="850"/>
      </w:tblGrid>
      <w:tr w:rsidR="001558EB" w:rsidRPr="00C42449" w14:paraId="112C3442" w14:textId="77777777" w:rsidTr="0051263F">
        <w:trPr>
          <w:trHeight w:val="96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3D1DC906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</w:t>
            </w:r>
            <w:proofErr w:type="spellEnd"/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3AB5D2E2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6C67EA90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noWrap/>
            <w:vAlign w:val="center"/>
            <w:hideMark/>
          </w:tcPr>
          <w:p w14:paraId="699E7492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1. siječnja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7EEAF25B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31. prosinca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6608DCA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1558EB" w:rsidRPr="00C42449" w14:paraId="71E8C5FD" w14:textId="77777777" w:rsidTr="0051263F">
        <w:trPr>
          <w:trHeight w:val="240"/>
        </w:trPr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67DD9274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3A485B1C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04DC1B64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0B13731E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04340AB0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B8AABAC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4E0E5F" w:rsidRPr="00C42449" w14:paraId="5A6BDD47" w14:textId="77777777" w:rsidTr="00F03EA9">
        <w:trPr>
          <w:trHeight w:val="255"/>
        </w:trPr>
        <w:tc>
          <w:tcPr>
            <w:tcW w:w="83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007951" w14:textId="28ACD086" w:rsidR="004E0E5F" w:rsidRPr="00C42449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228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3ADC63" w14:textId="0CE73A4C" w:rsidR="004E0E5F" w:rsidRPr="00C42449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Kontinuirani rashodi budućih razdoblja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0259224" w14:textId="22C16C5E" w:rsidR="004E0E5F" w:rsidRPr="00C42449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C643030" w14:textId="1891B9D3" w:rsidR="004E0E5F" w:rsidRPr="00C42449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39.173,15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999BB9" w14:textId="78536C42" w:rsidR="004E0E5F" w:rsidRPr="00C42449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56.098,25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7CC78" w14:textId="7919FD41" w:rsidR="004E0E5F" w:rsidRPr="00C42449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143,2</w:t>
            </w:r>
          </w:p>
        </w:tc>
      </w:tr>
    </w:tbl>
    <w:p w14:paraId="7714C3C8" w14:textId="77777777" w:rsidR="001558EB" w:rsidRDefault="001558EB" w:rsidP="001558EB">
      <w:pPr>
        <w:pStyle w:val="Tijeloteksta"/>
        <w:spacing w:before="2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7CB6F" w14:textId="570F1DE3" w:rsidR="001558EB" w:rsidRDefault="001558EB" w:rsidP="001558EB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83970">
        <w:rPr>
          <w:rFonts w:ascii="Times New Roman" w:hAnsi="Times New Roman" w:cs="Times New Roman"/>
          <w:bCs/>
          <w:sz w:val="24"/>
          <w:szCs w:val="24"/>
        </w:rPr>
        <w:t>Sukladno čl. 39. st. 2. Pravilnika o proračunskom računovodstvu i računskom planu (N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08397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83970">
        <w:rPr>
          <w:rFonts w:ascii="Times New Roman" w:hAnsi="Times New Roman" w:cs="Times New Roman"/>
          <w:bCs/>
          <w:sz w:val="24"/>
          <w:szCs w:val="24"/>
        </w:rPr>
        <w:lastRenderedPageBreak/>
        <w:t>124/14., 108/20.) proračunski korisnik kontinuirane rashode (13. rashod) za prosinac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3970">
        <w:rPr>
          <w:rFonts w:ascii="Times New Roman" w:hAnsi="Times New Roman" w:cs="Times New Roman"/>
          <w:bCs/>
          <w:sz w:val="24"/>
          <w:szCs w:val="24"/>
        </w:rPr>
        <w:t>202</w:t>
      </w:r>
      <w:r w:rsidR="00712D05">
        <w:rPr>
          <w:rFonts w:ascii="Times New Roman" w:hAnsi="Times New Roman" w:cs="Times New Roman"/>
          <w:bCs/>
          <w:sz w:val="24"/>
          <w:szCs w:val="24"/>
        </w:rPr>
        <w:t>4</w:t>
      </w:r>
      <w:r w:rsidRPr="00083970">
        <w:rPr>
          <w:rFonts w:ascii="Times New Roman" w:hAnsi="Times New Roman" w:cs="Times New Roman"/>
          <w:bCs/>
          <w:sz w:val="24"/>
          <w:szCs w:val="24"/>
        </w:rPr>
        <w:t>. godine evidentira na 193 – rashode budućeg razdoblja. Kontinuirani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3970">
        <w:rPr>
          <w:rFonts w:ascii="Times New Roman" w:hAnsi="Times New Roman" w:cs="Times New Roman"/>
          <w:bCs/>
          <w:sz w:val="24"/>
          <w:szCs w:val="24"/>
        </w:rPr>
        <w:t>budućeg razdoblja odnose se na rashode za zaposlene</w:t>
      </w:r>
      <w:r>
        <w:rPr>
          <w:rFonts w:ascii="Times New Roman" w:hAnsi="Times New Roman" w:cs="Times New Roman"/>
          <w:bCs/>
          <w:sz w:val="24"/>
          <w:szCs w:val="24"/>
        </w:rPr>
        <w:t xml:space="preserve"> odnosno na plaću za 12.mjesec 202</w:t>
      </w:r>
      <w:r w:rsidR="00712D0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godine koja će biti isplaćena u siječnju 202</w:t>
      </w:r>
      <w:r w:rsidR="00712D0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godine. </w:t>
      </w:r>
    </w:p>
    <w:p w14:paraId="45329D93" w14:textId="77777777" w:rsidR="00B97BAB" w:rsidRDefault="00B97BAB" w:rsidP="00C665DF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CB375" w14:textId="77777777" w:rsidR="00B97BAB" w:rsidRDefault="00B97BAB" w:rsidP="001558EB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988ECF" w14:textId="1ADFFE36" w:rsidR="001558EB" w:rsidRPr="00B032D0" w:rsidRDefault="001558EB" w:rsidP="001558EB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2D0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E404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032D0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922 – Višak/Manjak prihoda</w:t>
      </w:r>
    </w:p>
    <w:p w14:paraId="30AB4C6E" w14:textId="77777777" w:rsidR="001558EB" w:rsidRDefault="001558EB" w:rsidP="001558EB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9FD866" w14:textId="388B43D6" w:rsidR="001558EB" w:rsidRDefault="001558EB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7E4">
        <w:rPr>
          <w:rFonts w:ascii="Times New Roman" w:hAnsi="Times New Roman" w:cs="Times New Roman"/>
          <w:bCs/>
          <w:sz w:val="24"/>
          <w:szCs w:val="24"/>
        </w:rPr>
        <w:t>Isječak iz financijskog izvještaja - Bilanca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EB5A19" w14:textId="77777777" w:rsidR="006E5A29" w:rsidRDefault="006E5A29" w:rsidP="001558EB">
      <w:pPr>
        <w:pStyle w:val="Tijeloteksta"/>
        <w:spacing w:before="2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938" w:type="dxa"/>
        <w:tblInd w:w="682" w:type="dxa"/>
        <w:tblLook w:val="04A0" w:firstRow="1" w:lastRow="0" w:firstColumn="1" w:lastColumn="0" w:noHBand="0" w:noVBand="1"/>
      </w:tblPr>
      <w:tblGrid>
        <w:gridCol w:w="833"/>
        <w:gridCol w:w="2207"/>
        <w:gridCol w:w="1559"/>
        <w:gridCol w:w="1276"/>
        <w:gridCol w:w="1276"/>
        <w:gridCol w:w="787"/>
      </w:tblGrid>
      <w:tr w:rsidR="001558EB" w:rsidRPr="00C42449" w14:paraId="5CED40B3" w14:textId="77777777" w:rsidTr="0051263F">
        <w:trPr>
          <w:trHeight w:val="9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30A286E6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</w:t>
            </w:r>
            <w:proofErr w:type="spellEnd"/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661DE7DD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2454FFF9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noWrap/>
            <w:vAlign w:val="center"/>
            <w:hideMark/>
          </w:tcPr>
          <w:p w14:paraId="6BECC281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1. siječnja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BDD6EE" w:themeFill="accent1" w:themeFillTint="66"/>
            <w:vAlign w:val="center"/>
            <w:hideMark/>
          </w:tcPr>
          <w:p w14:paraId="74EEC0E7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Stanje 31. prosinca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66B4972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  <w:r w:rsidRPr="00C4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1558EB" w:rsidRPr="00C42449" w14:paraId="0FAFCA63" w14:textId="77777777" w:rsidTr="0051263F">
        <w:trPr>
          <w:trHeight w:val="24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14D80C44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3F5B3C22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2A1EBD5E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14:paraId="785390E4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38EA818D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778C87B" w14:textId="77777777" w:rsidR="001558EB" w:rsidRPr="00C42449" w:rsidRDefault="001558EB" w:rsidP="0051263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4244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4E0E5F" w:rsidRPr="00B032D0" w14:paraId="69705068" w14:textId="77777777" w:rsidTr="004F7CED">
        <w:trPr>
          <w:trHeight w:val="255"/>
        </w:trPr>
        <w:tc>
          <w:tcPr>
            <w:tcW w:w="83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F3F82D" w14:textId="0E54681A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</w:t>
            </w:r>
          </w:p>
        </w:tc>
        <w:tc>
          <w:tcPr>
            <w:tcW w:w="22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B84C9BC" w14:textId="0F53B53B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Višak/manjak prihoda (šifre 9221-9222)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03C2703" w14:textId="03D36717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EB15F46" w14:textId="41333CB3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16.151,91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A101AF" w14:textId="24918F3A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23.574,58</w:t>
            </w:r>
          </w:p>
        </w:tc>
        <w:tc>
          <w:tcPr>
            <w:tcW w:w="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56CA" w14:textId="00DCD685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146,0</w:t>
            </w:r>
          </w:p>
        </w:tc>
      </w:tr>
      <w:tr w:rsidR="004E0E5F" w:rsidRPr="00B032D0" w14:paraId="46F3E861" w14:textId="77777777" w:rsidTr="004F7CED">
        <w:trPr>
          <w:trHeight w:val="25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C99B7F" w14:textId="30E5EE0E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5F1854" w14:textId="5EFA6B81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prihoda (šifre 92211 do 92213)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C350309" w14:textId="08CA5BB7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8C27D23" w14:textId="2126DF62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139.496,43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8476DC5" w14:textId="1FD15F75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163.625,85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B1866" w14:textId="63E358EB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117,3</w:t>
            </w:r>
          </w:p>
        </w:tc>
      </w:tr>
      <w:tr w:rsidR="004E0E5F" w:rsidRPr="00B032D0" w14:paraId="5303636C" w14:textId="77777777" w:rsidTr="004F7CED">
        <w:trPr>
          <w:trHeight w:val="25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626BD96" w14:textId="100CBA4E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743EFFE" w14:textId="55EA8B2A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prihoda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45ACE92" w14:textId="1F7C3463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AB39514" w14:textId="460923EC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139.496,43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66AD22A" w14:textId="7E94BAE5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163.625,85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9468" w14:textId="78BD9C2D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117,3</w:t>
            </w:r>
          </w:p>
        </w:tc>
      </w:tr>
      <w:tr w:rsidR="004E0E5F" w:rsidRPr="00B032D0" w14:paraId="78C72F8A" w14:textId="77777777" w:rsidTr="004F7CED">
        <w:trPr>
          <w:trHeight w:val="25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0A1A00" w14:textId="09A4F665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943DD4" w14:textId="7B0053D6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prihoda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14C0F7" w14:textId="653774C5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33B7A20" w14:textId="3BDF7AE4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BC918E1" w14:textId="782E3464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6838" w14:textId="5CDADBB5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0E5F" w:rsidRPr="00B032D0" w14:paraId="68F410E0" w14:textId="77777777" w:rsidTr="004F7CED">
        <w:trPr>
          <w:trHeight w:val="25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77C370" w14:textId="47FEA292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9914E5E" w14:textId="032593F0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primitaka od 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6784C36" w14:textId="1717A3F2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01061D9" w14:textId="734FFA2B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F869E72" w14:textId="6E5D1E93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94260" w14:textId="711351AC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0E5F" w:rsidRPr="00B032D0" w14:paraId="6B6F053F" w14:textId="77777777" w:rsidTr="004F7CED">
        <w:trPr>
          <w:trHeight w:val="25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6383D75" w14:textId="324867E4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9ABAC5" w14:textId="3D40EA19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prihoda (šifre 92221 do 92223)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FC0EC7" w14:textId="7E0329A0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8CFC1C2" w14:textId="4DEF1318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123.344,52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4904AC" w14:textId="413D23AE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140.051,27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5021E" w14:textId="37BCBDF5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113,5</w:t>
            </w:r>
          </w:p>
        </w:tc>
      </w:tr>
      <w:tr w:rsidR="004E0E5F" w:rsidRPr="00B032D0" w14:paraId="5E1BF990" w14:textId="77777777" w:rsidTr="004F7CED">
        <w:trPr>
          <w:trHeight w:val="25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29459D" w14:textId="73061F22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92221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3605819" w14:textId="138C2411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prihoda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2209C89" w14:textId="5F2199C7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8220B5D" w14:textId="778FE595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1AAF39" w14:textId="29484419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0FFA3" w14:textId="63A24EF8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0E5F" w:rsidRPr="00B032D0" w14:paraId="262185A3" w14:textId="77777777" w:rsidTr="004F7CED">
        <w:trPr>
          <w:trHeight w:val="255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41F1FC" w14:textId="2BDDF473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92222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ED473B" w14:textId="45E39C38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prihoda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7D297D9" w14:textId="657C6EC8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5182B83" w14:textId="7488AD5F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123.344,52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4A059A" w14:textId="7914DE31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140.051,27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5A396" w14:textId="0DD28BD7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113,5</w:t>
            </w:r>
          </w:p>
        </w:tc>
      </w:tr>
      <w:tr w:rsidR="004E0E5F" w:rsidRPr="00B032D0" w14:paraId="5A295797" w14:textId="77777777" w:rsidTr="00BF27D3">
        <w:trPr>
          <w:trHeight w:val="255"/>
        </w:trPr>
        <w:tc>
          <w:tcPr>
            <w:tcW w:w="83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F109761" w14:textId="123C5AC0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92223</w:t>
            </w:r>
          </w:p>
        </w:tc>
        <w:tc>
          <w:tcPr>
            <w:tcW w:w="22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A8C43EB" w14:textId="291BE8C9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Manjak primitaka od financijske imovine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2168CED" w14:textId="4F83DADE" w:rsidR="004E0E5F" w:rsidRPr="00B032D0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92223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2931EB" w14:textId="3F5102A5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56CEBB3" w14:textId="0C75FD53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AF803" w14:textId="593B07C0" w:rsidR="004E0E5F" w:rsidRPr="00B032D0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7F122726" w14:textId="77777777" w:rsidR="001558EB" w:rsidRDefault="001558EB" w:rsidP="001558EB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4E133" w14:textId="1A9E51C3" w:rsidR="001558EB" w:rsidRDefault="001558EB" w:rsidP="001558EB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393">
        <w:rPr>
          <w:rFonts w:ascii="Times New Roman" w:hAnsi="Times New Roman" w:cs="Times New Roman"/>
          <w:bCs/>
          <w:sz w:val="24"/>
          <w:szCs w:val="24"/>
        </w:rPr>
        <w:t>Višak prihoda poslovanja 92211 iznosi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712D05">
        <w:rPr>
          <w:rFonts w:ascii="Times New Roman" w:hAnsi="Times New Roman" w:cs="Times New Roman"/>
          <w:bCs/>
          <w:sz w:val="24"/>
          <w:szCs w:val="24"/>
        </w:rPr>
        <w:t xml:space="preserve">63.625,85 </w:t>
      </w:r>
      <w:r>
        <w:rPr>
          <w:rFonts w:ascii="Times New Roman" w:hAnsi="Times New Roman" w:cs="Times New Roman"/>
          <w:bCs/>
          <w:sz w:val="24"/>
          <w:szCs w:val="24"/>
        </w:rPr>
        <w:t>eura dok m</w:t>
      </w:r>
      <w:r w:rsidRPr="00A73393">
        <w:rPr>
          <w:rFonts w:ascii="Times New Roman" w:hAnsi="Times New Roman" w:cs="Times New Roman"/>
          <w:bCs/>
          <w:sz w:val="24"/>
          <w:szCs w:val="24"/>
        </w:rPr>
        <w:t xml:space="preserve">anjak prihoda od nefinancijske imovine iznosi </w:t>
      </w:r>
      <w:r w:rsidR="00712D05">
        <w:rPr>
          <w:rFonts w:ascii="Times New Roman" w:hAnsi="Times New Roman" w:cs="Times New Roman"/>
          <w:bCs/>
          <w:sz w:val="24"/>
          <w:szCs w:val="24"/>
        </w:rPr>
        <w:t>140.051,27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eura. Iz priložene tablice vidljivo je kako je na dan 31.12.202</w:t>
      </w:r>
      <w:r w:rsidR="00712D0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ostvaren višak prihoda u iznosu od </w:t>
      </w:r>
      <w:r w:rsidR="00712D05">
        <w:rPr>
          <w:rFonts w:ascii="Times New Roman" w:hAnsi="Times New Roman" w:cs="Times New Roman"/>
          <w:bCs/>
          <w:sz w:val="24"/>
          <w:szCs w:val="24"/>
        </w:rPr>
        <w:t>23.574,58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dok je prošle godine ostvareni višak bio </w:t>
      </w:r>
      <w:r w:rsidR="00712D05">
        <w:rPr>
          <w:rFonts w:ascii="Times New Roman" w:hAnsi="Times New Roman" w:cs="Times New Roman"/>
          <w:bCs/>
          <w:sz w:val="24"/>
          <w:szCs w:val="24"/>
        </w:rPr>
        <w:t>16.151,91</w:t>
      </w:r>
      <w:r w:rsidR="00931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1196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9311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910609" w14:textId="77777777" w:rsidR="00F13FE3" w:rsidRDefault="00F13FE3" w:rsidP="003E201C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933A6" w14:textId="77777777" w:rsidR="006E5A29" w:rsidRDefault="006E5A29" w:rsidP="003E201C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6ADE8" w14:textId="1F0A36B5" w:rsidR="00F13FE3" w:rsidRDefault="00F13FE3" w:rsidP="001558EB">
      <w:pPr>
        <w:pStyle w:val="Tijelotek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FE3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rashodima prema funkcijskoj klasifikaciji – Obrazac – RAS FUNKCIJSKI</w:t>
      </w:r>
    </w:p>
    <w:p w14:paraId="099ADAAA" w14:textId="77777777" w:rsidR="00F13FE3" w:rsidRDefault="00F13FE3" w:rsidP="00F13FE3">
      <w:pPr>
        <w:pStyle w:val="Tijeloteksta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AA633" w14:textId="58E5B722" w:rsidR="007F1B4F" w:rsidRDefault="007F1B4F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F">
        <w:rPr>
          <w:rFonts w:ascii="Times New Roman" w:hAnsi="Times New Roman" w:cs="Times New Roman"/>
          <w:bCs/>
          <w:sz w:val="24"/>
          <w:szCs w:val="24"/>
        </w:rPr>
        <w:t xml:space="preserve">Funkcijska klasifikacija sadrži rashode razvrstane prema njihovoj namjeni. Prema funkcijskoj klasifikaciji </w:t>
      </w:r>
      <w:r>
        <w:rPr>
          <w:rFonts w:ascii="Times New Roman" w:hAnsi="Times New Roman" w:cs="Times New Roman"/>
          <w:bCs/>
          <w:sz w:val="24"/>
          <w:szCs w:val="24"/>
        </w:rPr>
        <w:t>prikazani su</w:t>
      </w:r>
      <w:r w:rsidRPr="007F1B4F">
        <w:rPr>
          <w:rFonts w:ascii="Times New Roman" w:hAnsi="Times New Roman" w:cs="Times New Roman"/>
          <w:bCs/>
          <w:sz w:val="24"/>
          <w:szCs w:val="24"/>
        </w:rPr>
        <w:t xml:space="preserve"> rashodi poslovanja razreda 3 i rashodi za nabavu nefinancijske imovine razreda 4. Svi rashodi ostvareni u 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 w:rsidRPr="007F1B4F">
        <w:rPr>
          <w:rFonts w:ascii="Times New Roman" w:hAnsi="Times New Roman" w:cs="Times New Roman"/>
          <w:bCs/>
          <w:sz w:val="24"/>
          <w:szCs w:val="24"/>
        </w:rPr>
        <w:t>. godini bez prenesenog rezultata iskazuju se na jednoj funkciji:</w:t>
      </w:r>
    </w:p>
    <w:p w14:paraId="6A989D09" w14:textId="77777777" w:rsidR="00712D05" w:rsidRDefault="00712D05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E5907C" w14:textId="19696EE3" w:rsidR="00FE6156" w:rsidRDefault="007F1B4F" w:rsidP="0024694E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F">
        <w:rPr>
          <w:rFonts w:ascii="Times New Roman" w:hAnsi="Times New Roman" w:cs="Times New Roman"/>
          <w:bCs/>
          <w:sz w:val="24"/>
          <w:szCs w:val="24"/>
        </w:rPr>
        <w:t xml:space="preserve"> • 0911 Predškolsko obrazovanje</w:t>
      </w:r>
    </w:p>
    <w:p w14:paraId="16EF1D3C" w14:textId="77777777" w:rsidR="006E5A29" w:rsidRDefault="006E5A29" w:rsidP="0024694E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52857" w14:textId="77777777" w:rsidR="00C4507D" w:rsidRDefault="00C4507D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EB0D74" w14:textId="77777777" w:rsidR="006E5A29" w:rsidRDefault="006E5A29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535080" w14:textId="77777777" w:rsidR="007C77D9" w:rsidRDefault="007C77D9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EA46C1" w14:textId="77777777" w:rsidR="006E5A29" w:rsidRDefault="006E5A29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4BD184" w14:textId="77777777" w:rsidR="006E5A29" w:rsidRDefault="006E5A29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0784AD" w14:textId="77777777" w:rsidR="006E5A29" w:rsidRDefault="006E5A29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D05517" w14:textId="5A4BE63B" w:rsidR="007F1B4F" w:rsidRDefault="007F1B4F" w:rsidP="007F1B4F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B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broj 1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F1B4F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0911 – Predškolsko obrazovanje</w:t>
      </w:r>
    </w:p>
    <w:p w14:paraId="7AE9F189" w14:textId="77777777" w:rsidR="007F1B4F" w:rsidRDefault="007F1B4F" w:rsidP="007F1B4F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8BAFD" w14:textId="32028439" w:rsidR="007F1B4F" w:rsidRDefault="007F1B4F" w:rsidP="00FE6156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F">
        <w:rPr>
          <w:rFonts w:ascii="Times New Roman" w:hAnsi="Times New Roman" w:cs="Times New Roman"/>
          <w:bCs/>
          <w:sz w:val="24"/>
          <w:szCs w:val="24"/>
        </w:rPr>
        <w:t>Isječak iz Izvještaja o rashodima prema funkcijskoj klasifikaciji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 w:rsidRPr="007F1B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A6D016" w14:textId="77777777" w:rsidR="006E5A29" w:rsidRPr="007F1B4F" w:rsidRDefault="006E5A29" w:rsidP="00FE6156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850"/>
        <w:gridCol w:w="1973"/>
        <w:gridCol w:w="1267"/>
        <w:gridCol w:w="1559"/>
        <w:gridCol w:w="1297"/>
        <w:gridCol w:w="850"/>
      </w:tblGrid>
      <w:tr w:rsidR="007F1B4F" w:rsidRPr="00D17B0D" w14:paraId="07C03ECA" w14:textId="77777777" w:rsidTr="004E0E5F">
        <w:trPr>
          <w:trHeight w:val="9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3F9051E" w14:textId="77777777" w:rsidR="007F1B4F" w:rsidRPr="00D17B0D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346344D" w14:textId="77777777" w:rsidR="007F1B4F" w:rsidRPr="00D17B0D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751571A" w14:textId="77777777" w:rsidR="007F1B4F" w:rsidRPr="00D17B0D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26872DDB" w14:textId="77777777" w:rsidR="007F1B4F" w:rsidRPr="00D17B0D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proofErr w:type="spellStart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preth</w:t>
            </w:r>
            <w:proofErr w:type="spellEnd"/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2AF6E0E2" w14:textId="77777777" w:rsidR="007F1B4F" w:rsidRPr="00D17B0D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u izvještajnom razdoblju 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tekuće godine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C1E0C07" w14:textId="77777777" w:rsidR="007F1B4F" w:rsidRPr="00D17B0D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  <w:r w:rsidRPr="00D17B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(5/4)</w:t>
            </w:r>
          </w:p>
        </w:tc>
      </w:tr>
      <w:tr w:rsidR="007F1B4F" w:rsidRPr="00B06E18" w14:paraId="27E24882" w14:textId="77777777" w:rsidTr="004E0E5F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7535817A" w14:textId="77777777" w:rsidR="007F1B4F" w:rsidRPr="00B06E18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20B52B12" w14:textId="77777777" w:rsidR="007F1B4F" w:rsidRPr="00B06E18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61420DDB" w14:textId="77777777" w:rsidR="007F1B4F" w:rsidRPr="00B06E18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E1A6CDD" w14:textId="77777777" w:rsidR="007F1B4F" w:rsidRPr="00B06E18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6CF401E" w14:textId="77777777" w:rsidR="007F1B4F" w:rsidRPr="00B06E18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7DB6C9B" w14:textId="77777777" w:rsidR="007F1B4F" w:rsidRPr="00B06E18" w:rsidRDefault="007F1B4F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B06E1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6</w:t>
            </w:r>
          </w:p>
        </w:tc>
      </w:tr>
      <w:tr w:rsidR="004E0E5F" w:rsidRPr="007F1B4F" w14:paraId="15604502" w14:textId="77777777" w:rsidTr="004E0E5F">
        <w:trPr>
          <w:trHeight w:val="255"/>
        </w:trPr>
        <w:tc>
          <w:tcPr>
            <w:tcW w:w="85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65696B0" w14:textId="13DD0637" w:rsidR="004E0E5F" w:rsidRPr="007F1B4F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0911</w:t>
            </w:r>
          </w:p>
        </w:tc>
        <w:tc>
          <w:tcPr>
            <w:tcW w:w="19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2DFD3CD" w14:textId="4CF922DE" w:rsidR="004E0E5F" w:rsidRPr="007F1B4F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Predškolsko obrazovanje</w:t>
            </w:r>
          </w:p>
        </w:tc>
        <w:tc>
          <w:tcPr>
            <w:tcW w:w="1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bottom"/>
            <w:hideMark/>
          </w:tcPr>
          <w:p w14:paraId="7FCD2E98" w14:textId="0D6677F8" w:rsidR="004E0E5F" w:rsidRPr="007F1B4F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0911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817639" w14:textId="55798070" w:rsidR="004E0E5F" w:rsidRPr="007F1B4F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559.061,40</w:t>
            </w:r>
          </w:p>
        </w:tc>
        <w:tc>
          <w:tcPr>
            <w:tcW w:w="12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AA17665" w14:textId="2B0A2463" w:rsidR="004E0E5F" w:rsidRPr="007F1B4F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695.597,57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7ED1D" w14:textId="340F03E3" w:rsidR="004E0E5F" w:rsidRPr="007F1B4F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124,4</w:t>
            </w:r>
          </w:p>
        </w:tc>
      </w:tr>
    </w:tbl>
    <w:p w14:paraId="401711E2" w14:textId="77777777" w:rsidR="007F1B4F" w:rsidRDefault="007F1B4F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52E3A4" w14:textId="4795999C" w:rsidR="007F1B4F" w:rsidRDefault="007F1B4F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B4F">
        <w:rPr>
          <w:rFonts w:ascii="Times New Roman" w:hAnsi="Times New Roman" w:cs="Times New Roman"/>
          <w:bCs/>
          <w:sz w:val="24"/>
          <w:szCs w:val="24"/>
        </w:rPr>
        <w:t>Navedeni rashodi iskazani su i u obrascu PR-RAS – šifra Y034.</w:t>
      </w:r>
    </w:p>
    <w:p w14:paraId="39F60691" w14:textId="77777777" w:rsidR="006E5A29" w:rsidRDefault="006E5A29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8387AC" w14:textId="77777777" w:rsidR="006E5A29" w:rsidRDefault="006E5A29" w:rsidP="007F1B4F">
      <w:pPr>
        <w:pStyle w:val="Tijeloteksta"/>
        <w:ind w:firstLine="6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3B1C6F" w14:textId="5FE50971" w:rsidR="007F1B4F" w:rsidRPr="003E201C" w:rsidRDefault="007F1B4F" w:rsidP="003E201C">
      <w:pPr>
        <w:pStyle w:val="Tijelotek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B4F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promjenama u vrijednosti i obujmu imovine i obveza  – Obrazac P-VRIO</w:t>
      </w:r>
    </w:p>
    <w:p w14:paraId="4A30E37C" w14:textId="77777777" w:rsidR="000437EF" w:rsidRDefault="000437EF" w:rsidP="000437EF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D33ABA" w14:textId="1C2C4E97" w:rsidR="004C66BD" w:rsidRDefault="007F1B4F" w:rsidP="006E5A29">
      <w:pPr>
        <w:pStyle w:val="Naslov2"/>
        <w:spacing w:before="183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6C0D1F">
        <w:rPr>
          <w:rFonts w:ascii="Times New Roman" w:hAnsi="Times New Roman" w:cs="Times New Roman"/>
          <w:b w:val="0"/>
          <w:sz w:val="24"/>
          <w:szCs w:val="24"/>
          <w:u w:val="none"/>
        </w:rPr>
        <w:t>U 202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4</w:t>
      </w:r>
      <w:r w:rsidRPr="006C0D1F">
        <w:rPr>
          <w:rFonts w:ascii="Times New Roman" w:hAnsi="Times New Roman" w:cs="Times New Roman"/>
          <w:b w:val="0"/>
          <w:sz w:val="24"/>
          <w:szCs w:val="24"/>
          <w:u w:val="none"/>
        </w:rPr>
        <w:t>.godini nije došlo ni do povećanja ni do smanjenja u vrijednosti i obujmu imovine i obveza koje bi trebalo iskazati u obrascu P-VRIO</w:t>
      </w:r>
      <w:r w:rsidR="006E5A29"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</w:p>
    <w:p w14:paraId="09BD98C1" w14:textId="77777777" w:rsidR="006E5A29" w:rsidRDefault="006E5A29" w:rsidP="00B15236">
      <w:pPr>
        <w:pStyle w:val="Naslov2"/>
        <w:spacing w:before="183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5FCD5092" w14:textId="741E8097" w:rsidR="004A267E" w:rsidRPr="00093EC8" w:rsidRDefault="004A267E" w:rsidP="00093EC8">
      <w:pPr>
        <w:pStyle w:val="Naslov2"/>
        <w:numPr>
          <w:ilvl w:val="0"/>
          <w:numId w:val="4"/>
        </w:numPr>
        <w:spacing w:before="183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4A267E">
        <w:rPr>
          <w:rFonts w:ascii="Times New Roman" w:hAnsi="Times New Roman" w:cs="Times New Roman"/>
          <w:bCs w:val="0"/>
          <w:sz w:val="24"/>
          <w:szCs w:val="24"/>
        </w:rPr>
        <w:t>Bilješke uz izvještaj o obvezama – Obrazac O</w:t>
      </w:r>
      <w:r w:rsidRPr="00C4507D">
        <w:rPr>
          <w:rFonts w:ascii="Times New Roman" w:hAnsi="Times New Roman" w:cs="Times New Roman"/>
          <w:bCs w:val="0"/>
          <w:sz w:val="24"/>
          <w:szCs w:val="24"/>
        </w:rPr>
        <w:t>BVEZE</w:t>
      </w:r>
    </w:p>
    <w:p w14:paraId="1AFC67CB" w14:textId="3A37B014" w:rsidR="004A267E" w:rsidRDefault="004A267E" w:rsidP="004A267E">
      <w:pPr>
        <w:pStyle w:val="Naslov2"/>
        <w:spacing w:before="183"/>
        <w:ind w:left="476" w:firstLine="244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4A267E">
        <w:rPr>
          <w:rFonts w:ascii="Times New Roman" w:hAnsi="Times New Roman" w:cs="Times New Roman"/>
          <w:bCs w:val="0"/>
          <w:sz w:val="24"/>
          <w:szCs w:val="24"/>
        </w:rPr>
        <w:t xml:space="preserve">Bilješka broj </w:t>
      </w:r>
      <w:r w:rsidR="00724D65">
        <w:rPr>
          <w:rFonts w:ascii="Times New Roman" w:hAnsi="Times New Roman" w:cs="Times New Roman"/>
          <w:bCs w:val="0"/>
          <w:sz w:val="24"/>
          <w:szCs w:val="24"/>
        </w:rPr>
        <w:t>20</w:t>
      </w:r>
      <w:r w:rsidRPr="004A267E">
        <w:rPr>
          <w:rFonts w:ascii="Times New Roman" w:hAnsi="Times New Roman" w:cs="Times New Roman"/>
          <w:bCs w:val="0"/>
          <w:sz w:val="24"/>
          <w:szCs w:val="24"/>
        </w:rPr>
        <w:t xml:space="preserve"> uz šifru V001 Stanje obveza 1. siječnja</w:t>
      </w:r>
    </w:p>
    <w:p w14:paraId="3C41EAFE" w14:textId="3DC975DC" w:rsidR="006E5A29" w:rsidRDefault="004A267E" w:rsidP="006E5A29">
      <w:pPr>
        <w:pStyle w:val="Naslov2"/>
        <w:spacing w:before="183"/>
        <w:ind w:left="476" w:firstLine="244"/>
        <w:jc w:val="center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>Isječak iz izvještaja o obvezama na dan 31.12.202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4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</w:p>
    <w:p w14:paraId="4F912976" w14:textId="77777777" w:rsidR="006E5A29" w:rsidRPr="00FE6156" w:rsidRDefault="006E5A29" w:rsidP="006E5A29">
      <w:pPr>
        <w:pStyle w:val="Naslov2"/>
        <w:ind w:left="476" w:firstLine="244"/>
        <w:jc w:val="center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1559"/>
      </w:tblGrid>
      <w:tr w:rsidR="004A267E" w:rsidRPr="004A267E" w14:paraId="0A4B1061" w14:textId="77777777" w:rsidTr="004A267E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0AC9C5F2" w14:textId="77777777" w:rsidR="004A267E" w:rsidRPr="004A267E" w:rsidRDefault="004A267E" w:rsidP="004A26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9BB9427" w14:textId="77777777" w:rsidR="004A267E" w:rsidRPr="004A267E" w:rsidRDefault="004A267E" w:rsidP="004A26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2C2F98B1" w14:textId="77777777" w:rsidR="004A267E" w:rsidRPr="004A267E" w:rsidRDefault="004A267E" w:rsidP="004A26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90184A9" w14:textId="77777777" w:rsidR="004A267E" w:rsidRPr="004A267E" w:rsidRDefault="004A267E" w:rsidP="004A26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</w:tr>
      <w:tr w:rsidR="004A267E" w:rsidRPr="004A267E" w14:paraId="423BDB79" w14:textId="77777777" w:rsidTr="004A267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7CC00990" w14:textId="77777777" w:rsidR="004A267E" w:rsidRPr="004A267E" w:rsidRDefault="004A267E" w:rsidP="004A26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6E3BDF95" w14:textId="77777777" w:rsidR="004A267E" w:rsidRPr="004A267E" w:rsidRDefault="004A267E" w:rsidP="004A26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09FD4427" w14:textId="77777777" w:rsidR="004A267E" w:rsidRPr="004A267E" w:rsidRDefault="004A267E" w:rsidP="004A26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42C4ABB" w14:textId="77777777" w:rsidR="004A267E" w:rsidRPr="004A267E" w:rsidRDefault="004A267E" w:rsidP="004A26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</w:tr>
      <w:tr w:rsidR="004E0E5F" w:rsidRPr="004A267E" w14:paraId="0C936639" w14:textId="77777777" w:rsidTr="00AA5C0F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D5F8E3F" w14:textId="40439EDB" w:rsidR="004E0E5F" w:rsidRPr="004A267E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5E0BFD6" w14:textId="0567C101" w:rsidR="004E0E5F" w:rsidRPr="004A267E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obveza 1. siječnja (=stanju obveza iz Izvještaja o obvezama na 31. prosinca prethodne godine)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2C2A04" w14:textId="30574CE1" w:rsidR="004E0E5F" w:rsidRPr="004A267E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BAE9" w14:textId="7E34EFB6" w:rsidR="004E0E5F" w:rsidRPr="004A267E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49.669,83</w:t>
            </w:r>
          </w:p>
        </w:tc>
      </w:tr>
    </w:tbl>
    <w:p w14:paraId="1463F0E9" w14:textId="35EED028" w:rsidR="006E5A29" w:rsidRDefault="004A267E" w:rsidP="00093EC8">
      <w:pPr>
        <w:pStyle w:val="Naslov2"/>
        <w:spacing w:before="183"/>
        <w:ind w:left="0" w:firstLine="476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1" w:name="_Hlk157166524"/>
      <w:r>
        <w:rPr>
          <w:rFonts w:ascii="Times New Roman" w:hAnsi="Times New Roman" w:cs="Times New Roman"/>
          <w:b w:val="0"/>
          <w:sz w:val="24"/>
          <w:szCs w:val="24"/>
          <w:u w:val="none"/>
        </w:rPr>
        <w:t>Iskazane su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nepodmirene obveze za plaću iz 12. mjesec</w:t>
      </w:r>
      <w:r w:rsidR="00931196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202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3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. godine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i 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materijalni troškovi za prosinac 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2023.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godine. </w:t>
      </w:r>
      <w:bookmarkEnd w:id="1"/>
    </w:p>
    <w:p w14:paraId="6E6DAFD1" w14:textId="77777777" w:rsidR="00093EC8" w:rsidRDefault="00093EC8" w:rsidP="00093EC8">
      <w:pPr>
        <w:pStyle w:val="Naslov2"/>
        <w:spacing w:before="183"/>
        <w:ind w:left="0" w:firstLine="476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15A2A2F9" w14:textId="5AC45EFC" w:rsidR="004A267E" w:rsidRPr="004A267E" w:rsidRDefault="004A267E" w:rsidP="00FE6156">
      <w:pPr>
        <w:pStyle w:val="Naslov2"/>
        <w:spacing w:before="183"/>
        <w:ind w:left="476" w:firstLine="244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4A267E">
        <w:rPr>
          <w:rFonts w:ascii="Times New Roman" w:hAnsi="Times New Roman" w:cs="Times New Roman"/>
          <w:bCs w:val="0"/>
          <w:sz w:val="24"/>
          <w:szCs w:val="24"/>
        </w:rPr>
        <w:t xml:space="preserve">Bilješka broj </w:t>
      </w:r>
      <w:r w:rsidR="00EF6B7C">
        <w:rPr>
          <w:rFonts w:ascii="Times New Roman" w:hAnsi="Times New Roman" w:cs="Times New Roman"/>
          <w:bCs w:val="0"/>
          <w:sz w:val="24"/>
          <w:szCs w:val="24"/>
        </w:rPr>
        <w:t>2</w:t>
      </w:r>
      <w:r w:rsidR="00724D65">
        <w:rPr>
          <w:rFonts w:ascii="Times New Roman" w:hAnsi="Times New Roman" w:cs="Times New Roman"/>
          <w:bCs w:val="0"/>
          <w:sz w:val="24"/>
          <w:szCs w:val="24"/>
        </w:rPr>
        <w:t>1</w:t>
      </w:r>
      <w:r w:rsidRPr="004A267E">
        <w:rPr>
          <w:rFonts w:ascii="Times New Roman" w:hAnsi="Times New Roman" w:cs="Times New Roman"/>
          <w:bCs w:val="0"/>
          <w:sz w:val="24"/>
          <w:szCs w:val="24"/>
        </w:rPr>
        <w:t xml:space="preserve"> uz šifru V006 – Stanje obveza na kraju izvještajnog razdoblja</w:t>
      </w:r>
    </w:p>
    <w:p w14:paraId="17314FDA" w14:textId="678C151E" w:rsidR="006E5A29" w:rsidRDefault="004A267E" w:rsidP="006E5A29">
      <w:pPr>
        <w:pStyle w:val="Naslov2"/>
        <w:spacing w:before="183"/>
        <w:ind w:left="476" w:firstLine="244"/>
        <w:jc w:val="center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>Isječak iz izvještaja o obvezama na dan 31.12.202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4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</w:p>
    <w:p w14:paraId="69A15B32" w14:textId="77777777" w:rsidR="006E5A29" w:rsidRPr="00FE6156" w:rsidRDefault="006E5A29" w:rsidP="006E5A29">
      <w:pPr>
        <w:pStyle w:val="Naslov2"/>
        <w:ind w:left="476" w:firstLine="244"/>
        <w:jc w:val="center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1559"/>
      </w:tblGrid>
      <w:tr w:rsidR="004A267E" w:rsidRPr="004A267E" w14:paraId="2214905B" w14:textId="77777777" w:rsidTr="00E07DE4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13A6B972" w14:textId="77777777" w:rsidR="004A267E" w:rsidRPr="004A267E" w:rsidRDefault="004A267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E25096D" w14:textId="77777777" w:rsidR="004A267E" w:rsidRPr="004A267E" w:rsidRDefault="004A267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DE79195" w14:textId="77777777" w:rsidR="004A267E" w:rsidRPr="004A267E" w:rsidRDefault="004A267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7C8EC0D" w14:textId="77777777" w:rsidR="004A267E" w:rsidRPr="004A267E" w:rsidRDefault="004A267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</w:tr>
      <w:tr w:rsidR="004A267E" w:rsidRPr="004A267E" w14:paraId="4A135096" w14:textId="77777777" w:rsidTr="00E07DE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09F2C08A" w14:textId="77777777" w:rsidR="004A267E" w:rsidRPr="004A267E" w:rsidRDefault="004A267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40D11A91" w14:textId="77777777" w:rsidR="004A267E" w:rsidRPr="004A267E" w:rsidRDefault="004A267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30F4FB80" w14:textId="77777777" w:rsidR="004A267E" w:rsidRPr="004A267E" w:rsidRDefault="004A267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1613AA3" w14:textId="77777777" w:rsidR="004A267E" w:rsidRPr="004A267E" w:rsidRDefault="004A267E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</w:tr>
      <w:tr w:rsidR="004E0E5F" w:rsidRPr="004A267E" w14:paraId="542B1073" w14:textId="77777777" w:rsidTr="00E07DE4">
        <w:trPr>
          <w:trHeight w:val="480"/>
        </w:trPr>
        <w:tc>
          <w:tcPr>
            <w:tcW w:w="85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D07ABD" w14:textId="68F90647" w:rsidR="004E0E5F" w:rsidRPr="004A267E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017D27" w14:textId="30E6D83A" w:rsidR="004E0E5F" w:rsidRPr="004A267E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obveza na kraju izvještajnog razdoblja (šifre V001+V002-V004) i (šifre V007+V009)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72B0880" w14:textId="1F2AF6D6" w:rsidR="004E0E5F" w:rsidRPr="004A267E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V006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ED57" w14:textId="5C571157" w:rsidR="004E0E5F" w:rsidRPr="004A267E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57.186,23</w:t>
            </w:r>
          </w:p>
        </w:tc>
      </w:tr>
    </w:tbl>
    <w:p w14:paraId="11C3BB83" w14:textId="7347EF64" w:rsidR="0024694E" w:rsidRDefault="00E07DE4" w:rsidP="004C66BD">
      <w:pPr>
        <w:pStyle w:val="Naslov2"/>
        <w:spacing w:before="183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>Iskazane su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nepodmirene obveze za plaću iz 12. mjesec</w:t>
      </w:r>
      <w:r w:rsidR="00931196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202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4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>. godine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(koja će biti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>isplaćena u siječnju 202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5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. godine)</w:t>
      </w:r>
      <w:r w:rsidR="007C77D9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, bolovanje na teret HZZO-a 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i 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materijalni troškovi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za prosinac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202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4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  <w:r w:rsidRPr="004A267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godine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, a dospijeće imaju u siječnju 202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5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. godine.</w:t>
      </w:r>
    </w:p>
    <w:p w14:paraId="6C1AE352" w14:textId="77777777" w:rsidR="0024694E" w:rsidRPr="00B97BAB" w:rsidRDefault="0024694E" w:rsidP="004C66BD">
      <w:pPr>
        <w:pStyle w:val="Naslov2"/>
        <w:spacing w:before="183"/>
        <w:ind w:left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36DE6B6A" w14:textId="21AAFD26" w:rsidR="00E07DE4" w:rsidRDefault="00E07DE4" w:rsidP="00E07DE4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DE4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 w:rsidR="00EF6B7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24D6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07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uz šifru V009 – Stanje nedospjelih obveza.</w:t>
      </w:r>
    </w:p>
    <w:p w14:paraId="3EDA92A8" w14:textId="77777777" w:rsidR="00E07DE4" w:rsidRDefault="00E07DE4" w:rsidP="00E07DE4">
      <w:pPr>
        <w:pStyle w:val="Tijeloteksta"/>
        <w:ind w:firstLine="6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392838" w14:textId="63CA2BCF" w:rsidR="00E07DE4" w:rsidRDefault="00E07DE4" w:rsidP="00093EC8">
      <w:pPr>
        <w:pStyle w:val="Tijeloteksta"/>
        <w:ind w:left="836" w:firstLine="604"/>
        <w:rPr>
          <w:rFonts w:ascii="Times New Roman" w:hAnsi="Times New Roman" w:cs="Times New Roman"/>
          <w:bCs/>
          <w:sz w:val="24"/>
          <w:szCs w:val="24"/>
        </w:rPr>
      </w:pPr>
      <w:r w:rsidRPr="00E07DE4">
        <w:rPr>
          <w:rFonts w:ascii="Times New Roman" w:hAnsi="Times New Roman" w:cs="Times New Roman"/>
          <w:bCs/>
          <w:sz w:val="24"/>
          <w:szCs w:val="24"/>
        </w:rPr>
        <w:t>Isječak iz izvještaja o obvezama na dan 31.12.202</w:t>
      </w:r>
      <w:r w:rsidR="00B929A9">
        <w:rPr>
          <w:rFonts w:ascii="Times New Roman" w:hAnsi="Times New Roman" w:cs="Times New Roman"/>
          <w:bCs/>
          <w:sz w:val="24"/>
          <w:szCs w:val="24"/>
        </w:rPr>
        <w:t>4</w:t>
      </w:r>
      <w:r w:rsidRPr="00E07D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EE536" w14:textId="77777777" w:rsidR="006E5A29" w:rsidRPr="00FE6156" w:rsidRDefault="006E5A29" w:rsidP="00FE6156">
      <w:pPr>
        <w:pStyle w:val="Tijeloteksta"/>
        <w:ind w:firstLine="60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7796" w:type="dxa"/>
        <w:tblInd w:w="704" w:type="dxa"/>
        <w:tblLook w:val="04A0" w:firstRow="1" w:lastRow="0" w:firstColumn="1" w:lastColumn="0" w:noHBand="0" w:noVBand="1"/>
      </w:tblPr>
      <w:tblGrid>
        <w:gridCol w:w="1247"/>
        <w:gridCol w:w="3633"/>
        <w:gridCol w:w="1357"/>
        <w:gridCol w:w="1559"/>
      </w:tblGrid>
      <w:tr w:rsidR="00E07DE4" w:rsidRPr="004A267E" w14:paraId="75CF763B" w14:textId="77777777" w:rsidTr="00B929A9">
        <w:trPr>
          <w:trHeight w:val="960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44C8E08F" w14:textId="77777777" w:rsidR="00E07DE4" w:rsidRPr="004A267E" w:rsidRDefault="00E07DE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iz </w:t>
            </w:r>
            <w:proofErr w:type="spellStart"/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</w:t>
            </w:r>
            <w:proofErr w:type="spellEnd"/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plana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695B9D4C" w14:textId="77777777" w:rsidR="00E07DE4" w:rsidRPr="004A267E" w:rsidRDefault="00E07DE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DEEAF6" w:themeFill="accent1" w:themeFillTint="33"/>
            <w:vAlign w:val="center"/>
            <w:hideMark/>
          </w:tcPr>
          <w:p w14:paraId="7AAE5428" w14:textId="77777777" w:rsidR="00E07DE4" w:rsidRPr="004A267E" w:rsidRDefault="00E07DE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CDF83C9" w14:textId="77777777" w:rsidR="00E07DE4" w:rsidRPr="004A267E" w:rsidRDefault="00E07DE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</w:tr>
      <w:tr w:rsidR="00E07DE4" w:rsidRPr="004A267E" w14:paraId="471451AC" w14:textId="77777777" w:rsidTr="00B929A9">
        <w:trPr>
          <w:trHeight w:val="240"/>
        </w:trPr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32F7A8D3" w14:textId="77777777" w:rsidR="00E07DE4" w:rsidRPr="004A267E" w:rsidRDefault="00E07DE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62147600" w14:textId="77777777" w:rsidR="00E07DE4" w:rsidRPr="004A267E" w:rsidRDefault="00E07DE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FFFFCC"/>
            <w:vAlign w:val="center"/>
            <w:hideMark/>
          </w:tcPr>
          <w:p w14:paraId="45FFC58D" w14:textId="77777777" w:rsidR="00E07DE4" w:rsidRPr="004A267E" w:rsidRDefault="00E07DE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04A8D1D" w14:textId="77777777" w:rsidR="00E07DE4" w:rsidRPr="004A267E" w:rsidRDefault="00E07DE4" w:rsidP="00CC730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4A267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4</w:t>
            </w:r>
          </w:p>
        </w:tc>
      </w:tr>
      <w:tr w:rsidR="004E0E5F" w:rsidRPr="00E07DE4" w14:paraId="306B5632" w14:textId="77777777" w:rsidTr="00B929A9">
        <w:trPr>
          <w:trHeight w:val="480"/>
        </w:trPr>
        <w:tc>
          <w:tcPr>
            <w:tcW w:w="1247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AAC9B8" w14:textId="2B8C58B8" w:rsidR="004E0E5F" w:rsidRPr="00E07DE4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nedospjelih obveza na kraju izvještajnog razdoblja (šifre V010 + ND23 + ND24 + 'ND dio 25,26')</w:t>
            </w:r>
          </w:p>
        </w:tc>
        <w:tc>
          <w:tcPr>
            <w:tcW w:w="36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098145" w14:textId="6C5E1DE5" w:rsidR="004E0E5F" w:rsidRPr="00E07DE4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V009</w:t>
            </w:r>
          </w:p>
        </w:tc>
        <w:tc>
          <w:tcPr>
            <w:tcW w:w="13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FD59" w14:textId="3272AAF7" w:rsidR="004E0E5F" w:rsidRPr="00E07DE4" w:rsidRDefault="004E0E5F" w:rsidP="004E0E5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57.186,23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F40B88" w14:textId="79169E0F" w:rsidR="004E0E5F" w:rsidRPr="00E07DE4" w:rsidRDefault="004E0E5F" w:rsidP="004E0E5F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Stanje nedospjelih obveza na kraju izvještajnog razdoblja (šifre V010 + ND23 + ND24 + 'ND dio 25,26')</w:t>
            </w:r>
          </w:p>
        </w:tc>
      </w:tr>
      <w:tr w:rsidR="00B929A9" w:rsidRPr="00E07DE4" w14:paraId="7B948745" w14:textId="77777777" w:rsidTr="003F74F0">
        <w:trPr>
          <w:trHeight w:val="255"/>
        </w:trPr>
        <w:tc>
          <w:tcPr>
            <w:tcW w:w="124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195E202" w14:textId="11537026" w:rsidR="00B929A9" w:rsidRPr="00E07DE4" w:rsidRDefault="00B929A9" w:rsidP="00B929A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E0C59E4" w14:textId="72B1BD66" w:rsidR="00B929A9" w:rsidRPr="00E07DE4" w:rsidRDefault="00B929A9" w:rsidP="00B929A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Obveze za rashode poslovanja</w:t>
            </w:r>
          </w:p>
        </w:tc>
        <w:tc>
          <w:tcPr>
            <w:tcW w:w="13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E177A4" w14:textId="6FA00747" w:rsidR="00B929A9" w:rsidRPr="00E07DE4" w:rsidRDefault="00B929A9" w:rsidP="00B929A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C0C0C"/>
                <w:sz w:val="18"/>
                <w:szCs w:val="18"/>
              </w:rPr>
              <w:t>ND23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79322" w14:textId="73EC0B13" w:rsidR="00B929A9" w:rsidRPr="00E07DE4" w:rsidRDefault="00B929A9" w:rsidP="00B929A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57.186,23</w:t>
            </w:r>
          </w:p>
        </w:tc>
      </w:tr>
    </w:tbl>
    <w:p w14:paraId="36EE68F1" w14:textId="6E1E3CC9" w:rsidR="00901B78" w:rsidRDefault="00E07DE4" w:rsidP="006E5A29">
      <w:pPr>
        <w:pStyle w:val="Naslov2"/>
        <w:spacing w:before="183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07DE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Obveze koje nisu dospjele odnose se na rashode poslovanja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u mjesecu </w:t>
      </w:r>
      <w:r w:rsidRPr="00E07DE4">
        <w:rPr>
          <w:rFonts w:ascii="Times New Roman" w:hAnsi="Times New Roman" w:cs="Times New Roman"/>
          <w:b w:val="0"/>
          <w:sz w:val="24"/>
          <w:szCs w:val="24"/>
          <w:u w:val="none"/>
        </w:rPr>
        <w:t>prosinc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u</w:t>
      </w:r>
      <w:r w:rsidRPr="00E07DE4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2024. godine.</w:t>
      </w:r>
    </w:p>
    <w:p w14:paraId="5F5D9B4C" w14:textId="6B282283" w:rsidR="00A44F20" w:rsidRDefault="00901B78" w:rsidP="006E5A29">
      <w:pPr>
        <w:pStyle w:val="Naslov2"/>
        <w:spacing w:before="183"/>
        <w:ind w:left="0" w:firstLine="72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901B7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Šifra ND23 – Obveze za rashode poslovanja odnose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se </w:t>
      </w:r>
      <w:r w:rsidRPr="00901B7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na plaću  za prosinac u iznosu od 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5</w:t>
      </w:r>
      <w:r w:rsidR="003E201C">
        <w:rPr>
          <w:rFonts w:ascii="Times New Roman" w:hAnsi="Times New Roman" w:cs="Times New Roman"/>
          <w:b w:val="0"/>
          <w:sz w:val="24"/>
          <w:szCs w:val="24"/>
          <w:u w:val="none"/>
        </w:rPr>
        <w:t>5.963,72</w:t>
      </w:r>
      <w:r w:rsidRPr="00901B7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€ </w:t>
      </w:r>
      <w:r w:rsidR="003E201C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, potraživanja od HZZO-a za bolovanje duže od 42 dana u iznosu od 134,53 € </w:t>
      </w:r>
      <w:r w:rsidRPr="00901B7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i materijalne rashode za prosinac u  iznosu od </w:t>
      </w:r>
      <w:r w:rsidR="00B929A9">
        <w:rPr>
          <w:rFonts w:ascii="Times New Roman" w:hAnsi="Times New Roman" w:cs="Times New Roman"/>
          <w:b w:val="0"/>
          <w:sz w:val="24"/>
          <w:szCs w:val="24"/>
          <w:u w:val="none"/>
        </w:rPr>
        <w:t>1.087,98</w:t>
      </w:r>
      <w:r w:rsidRPr="00901B7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€. Za sve rashode očekuj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u</w:t>
      </w:r>
      <w:r w:rsidRPr="00901B7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se uplat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e</w:t>
      </w:r>
      <w:r w:rsidRPr="00901B7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u siječnju  202</w:t>
      </w:r>
      <w:r w:rsidR="003E201C">
        <w:rPr>
          <w:rFonts w:ascii="Times New Roman" w:hAnsi="Times New Roman" w:cs="Times New Roman"/>
          <w:b w:val="0"/>
          <w:sz w:val="24"/>
          <w:szCs w:val="24"/>
          <w:u w:val="none"/>
        </w:rPr>
        <w:t>5</w:t>
      </w:r>
      <w:r w:rsidRPr="00901B78">
        <w:rPr>
          <w:rFonts w:ascii="Times New Roman" w:hAnsi="Times New Roman" w:cs="Times New Roman"/>
          <w:b w:val="0"/>
          <w:sz w:val="24"/>
          <w:szCs w:val="24"/>
          <w:u w:val="none"/>
        </w:rPr>
        <w:t>. godine.</w:t>
      </w:r>
    </w:p>
    <w:p w14:paraId="4665208D" w14:textId="77777777" w:rsidR="00A44F20" w:rsidRDefault="00A44F20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38EDA" w14:textId="77777777" w:rsidR="006E5A29" w:rsidRDefault="006E5A29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46617" w14:textId="77777777" w:rsidR="006E5A29" w:rsidRDefault="006E5A29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B8E37" w14:textId="77777777" w:rsidR="00093EC8" w:rsidRDefault="00093EC8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1D56D4" w14:textId="77777777" w:rsidR="00093EC8" w:rsidRDefault="00093EC8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BE9CCA" w14:textId="77777777" w:rsidR="00093EC8" w:rsidRDefault="00093EC8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77D308" w14:textId="77777777" w:rsidR="00093EC8" w:rsidRDefault="00093EC8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FB9727" w14:textId="77777777" w:rsidR="00093EC8" w:rsidRDefault="00093EC8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0FC8E" w14:textId="77777777" w:rsidR="006E5A29" w:rsidRPr="001E2226" w:rsidRDefault="006E5A29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50B8B2" w14:textId="5732AAF2" w:rsidR="001E2226" w:rsidRPr="001E2226" w:rsidRDefault="001E2226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Osoba za kontakt:</w:t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Pr="001E2226">
        <w:rPr>
          <w:rFonts w:ascii="Times New Roman" w:hAnsi="Times New Roman" w:cs="Times New Roman"/>
          <w:bCs/>
          <w:sz w:val="24"/>
          <w:szCs w:val="24"/>
        </w:rPr>
        <w:t>Odgovorna osoba:</w:t>
      </w:r>
    </w:p>
    <w:p w14:paraId="5FCA348B" w14:textId="1CB1529B" w:rsidR="001E2226" w:rsidRDefault="001E2226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>Voditeljica računovodstva:</w:t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</w:r>
      <w:r w:rsidR="00A44F20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Pr="001E2226">
        <w:rPr>
          <w:rFonts w:ascii="Times New Roman" w:hAnsi="Times New Roman" w:cs="Times New Roman"/>
          <w:bCs/>
          <w:sz w:val="24"/>
          <w:szCs w:val="24"/>
        </w:rPr>
        <w:t>Ravnatelj</w:t>
      </w:r>
      <w:r w:rsidR="00A44F20">
        <w:rPr>
          <w:rFonts w:ascii="Times New Roman" w:hAnsi="Times New Roman" w:cs="Times New Roman"/>
          <w:bCs/>
          <w:sz w:val="24"/>
          <w:szCs w:val="24"/>
        </w:rPr>
        <w:t>ica</w:t>
      </w:r>
      <w:r w:rsidRPr="001E222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869F03E" w14:textId="77777777" w:rsidR="00FE7170" w:rsidRDefault="00FE7170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4BB74" w14:textId="4BBB7671" w:rsidR="00A44F20" w:rsidRPr="001E2226" w:rsidRDefault="00A44F20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                                                            _______________________</w:t>
      </w:r>
    </w:p>
    <w:p w14:paraId="1CA3B1D4" w14:textId="057C25E7" w:rsidR="008F765F" w:rsidRDefault="00A44F20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Nikolina Majsec,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Martina Jakuš,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mag.praesc.educ</w:t>
      </w:r>
      <w:proofErr w:type="spellEnd"/>
      <w:r w:rsidR="00FB10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77EB5A" w14:textId="77777777" w:rsidR="008F765F" w:rsidRDefault="008F765F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A7079E" w14:textId="77777777" w:rsidR="00093EC8" w:rsidRDefault="00093EC8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7C573" w14:textId="77777777" w:rsidR="00093EC8" w:rsidRDefault="00093EC8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44455" w14:textId="77777777" w:rsidR="00093EC8" w:rsidRPr="001E2226" w:rsidRDefault="00093EC8" w:rsidP="001E2226">
      <w:pPr>
        <w:pStyle w:val="Tijelotekst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A3ED33" w14:textId="08E7C050" w:rsidR="00497F8D" w:rsidRDefault="001E2226" w:rsidP="006E5A29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226">
        <w:rPr>
          <w:rFonts w:ascii="Times New Roman" w:hAnsi="Times New Roman" w:cs="Times New Roman"/>
          <w:bCs/>
          <w:sz w:val="24"/>
          <w:szCs w:val="24"/>
        </w:rPr>
        <w:t xml:space="preserve">Telefon za kontakt: </w:t>
      </w:r>
      <w:r w:rsidR="00A44F20">
        <w:rPr>
          <w:rFonts w:ascii="Times New Roman" w:hAnsi="Times New Roman" w:cs="Times New Roman"/>
          <w:bCs/>
          <w:sz w:val="24"/>
          <w:szCs w:val="24"/>
        </w:rPr>
        <w:t>049/521-034</w:t>
      </w:r>
    </w:p>
    <w:sectPr w:rsidR="00497F8D" w:rsidSect="008F765F">
      <w:footerReference w:type="default" r:id="rId8"/>
      <w:pgSz w:w="11910" w:h="16840"/>
      <w:pgMar w:top="1360" w:right="1300" w:bottom="1100" w:left="1300" w:header="0" w:footer="9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F914" w14:textId="77777777" w:rsidR="00CB6305" w:rsidRDefault="00CB6305">
      <w:r>
        <w:separator/>
      </w:r>
    </w:p>
  </w:endnote>
  <w:endnote w:type="continuationSeparator" w:id="0">
    <w:p w14:paraId="3E9A8A72" w14:textId="77777777" w:rsidR="00CB6305" w:rsidRDefault="00CB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9E20" w14:textId="77777777" w:rsidR="00AF2E96" w:rsidRDefault="000F3B8F">
    <w:pPr>
      <w:pStyle w:val="Tijeloteksta"/>
      <w:spacing w:line="14" w:lineRule="auto"/>
      <w:ind w:left="0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7F763" wp14:editId="758AA000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16C2" w14:textId="77777777" w:rsidR="00AF2E96" w:rsidRDefault="000F3B8F">
                          <w:pPr>
                            <w:pStyle w:val="Tijeloteksta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15F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7F76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9pt;width:12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" filled="f" stroked="f">
              <v:textbox inset="0,0,0,0">
                <w:txbxContent>
                  <w:p w14:paraId="622916C2" w14:textId="77777777" w:rsidR="00AF2E96" w:rsidRDefault="000F3B8F">
                    <w:pPr>
                      <w:pStyle w:val="Tijeloteksta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15F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BF83" w14:textId="77777777" w:rsidR="00CB6305" w:rsidRDefault="00CB6305">
      <w:r>
        <w:separator/>
      </w:r>
    </w:p>
  </w:footnote>
  <w:footnote w:type="continuationSeparator" w:id="0">
    <w:p w14:paraId="4F96E1E0" w14:textId="77777777" w:rsidR="00CB6305" w:rsidRDefault="00CB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5724"/>
    <w:multiLevelType w:val="hybridMultilevel"/>
    <w:tmpl w:val="A036C6A8"/>
    <w:lvl w:ilvl="0" w:tplc="240E83F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3FC35A4B"/>
    <w:multiLevelType w:val="hybridMultilevel"/>
    <w:tmpl w:val="5ECE578A"/>
    <w:lvl w:ilvl="0" w:tplc="CB2CD2F2">
      <w:start w:val="1"/>
      <w:numFmt w:val="decimal"/>
      <w:lvlText w:val="%1."/>
      <w:lvlJc w:val="left"/>
      <w:pPr>
        <w:ind w:left="155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CDEC5B0">
      <w:numFmt w:val="bullet"/>
      <w:lvlText w:val="•"/>
      <w:lvlJc w:val="left"/>
      <w:pPr>
        <w:ind w:left="2409" w:hanging="361"/>
      </w:pPr>
      <w:rPr>
        <w:rFonts w:hint="default"/>
        <w:lang w:val="hr-HR" w:eastAsia="en-US" w:bidi="ar-SA"/>
      </w:rPr>
    </w:lvl>
    <w:lvl w:ilvl="2" w:tplc="740EB074">
      <w:numFmt w:val="bullet"/>
      <w:lvlText w:val="•"/>
      <w:lvlJc w:val="left"/>
      <w:pPr>
        <w:ind w:left="3256" w:hanging="361"/>
      </w:pPr>
      <w:rPr>
        <w:rFonts w:hint="default"/>
        <w:lang w:val="hr-HR" w:eastAsia="en-US" w:bidi="ar-SA"/>
      </w:rPr>
    </w:lvl>
    <w:lvl w:ilvl="3" w:tplc="CB32BE2A">
      <w:numFmt w:val="bullet"/>
      <w:lvlText w:val="•"/>
      <w:lvlJc w:val="left"/>
      <w:pPr>
        <w:ind w:left="4103" w:hanging="361"/>
      </w:pPr>
      <w:rPr>
        <w:rFonts w:hint="default"/>
        <w:lang w:val="hr-HR" w:eastAsia="en-US" w:bidi="ar-SA"/>
      </w:rPr>
    </w:lvl>
    <w:lvl w:ilvl="4" w:tplc="F29CCA44">
      <w:numFmt w:val="bullet"/>
      <w:lvlText w:val="•"/>
      <w:lvlJc w:val="left"/>
      <w:pPr>
        <w:ind w:left="4950" w:hanging="361"/>
      </w:pPr>
      <w:rPr>
        <w:rFonts w:hint="default"/>
        <w:lang w:val="hr-HR" w:eastAsia="en-US" w:bidi="ar-SA"/>
      </w:rPr>
    </w:lvl>
    <w:lvl w:ilvl="5" w:tplc="3B8E4A36">
      <w:numFmt w:val="bullet"/>
      <w:lvlText w:val="•"/>
      <w:lvlJc w:val="left"/>
      <w:pPr>
        <w:ind w:left="5797" w:hanging="361"/>
      </w:pPr>
      <w:rPr>
        <w:rFonts w:hint="default"/>
        <w:lang w:val="hr-HR" w:eastAsia="en-US" w:bidi="ar-SA"/>
      </w:rPr>
    </w:lvl>
    <w:lvl w:ilvl="6" w:tplc="5CF6BF26">
      <w:numFmt w:val="bullet"/>
      <w:lvlText w:val="•"/>
      <w:lvlJc w:val="left"/>
      <w:pPr>
        <w:ind w:left="6643" w:hanging="361"/>
      </w:pPr>
      <w:rPr>
        <w:rFonts w:hint="default"/>
        <w:lang w:val="hr-HR" w:eastAsia="en-US" w:bidi="ar-SA"/>
      </w:rPr>
    </w:lvl>
    <w:lvl w:ilvl="7" w:tplc="A64E752E">
      <w:numFmt w:val="bullet"/>
      <w:lvlText w:val="•"/>
      <w:lvlJc w:val="left"/>
      <w:pPr>
        <w:ind w:left="7490" w:hanging="361"/>
      </w:pPr>
      <w:rPr>
        <w:rFonts w:hint="default"/>
        <w:lang w:val="hr-HR" w:eastAsia="en-US" w:bidi="ar-SA"/>
      </w:rPr>
    </w:lvl>
    <w:lvl w:ilvl="8" w:tplc="D45C8188">
      <w:numFmt w:val="bullet"/>
      <w:lvlText w:val="•"/>
      <w:lvlJc w:val="left"/>
      <w:pPr>
        <w:ind w:left="8337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48FA6002"/>
    <w:multiLevelType w:val="hybridMultilevel"/>
    <w:tmpl w:val="FCFE2D32"/>
    <w:lvl w:ilvl="0" w:tplc="932EEEA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903F4"/>
    <w:multiLevelType w:val="hybridMultilevel"/>
    <w:tmpl w:val="7BE0C4A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E09C1"/>
    <w:multiLevelType w:val="hybridMultilevel"/>
    <w:tmpl w:val="EFDA44AC"/>
    <w:lvl w:ilvl="0" w:tplc="FAF2BEDE">
      <w:start w:val="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836102">
    <w:abstractNumId w:val="1"/>
  </w:num>
  <w:num w:numId="2" w16cid:durableId="1021392369">
    <w:abstractNumId w:val="0"/>
  </w:num>
  <w:num w:numId="3" w16cid:durableId="650209489">
    <w:abstractNumId w:val="4"/>
  </w:num>
  <w:num w:numId="4" w16cid:durableId="1514685846">
    <w:abstractNumId w:val="2"/>
  </w:num>
  <w:num w:numId="5" w16cid:durableId="1579056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1F"/>
    <w:rsid w:val="00024235"/>
    <w:rsid w:val="000437EF"/>
    <w:rsid w:val="00044F28"/>
    <w:rsid w:val="00061BD2"/>
    <w:rsid w:val="00073D20"/>
    <w:rsid w:val="00083970"/>
    <w:rsid w:val="00093EC8"/>
    <w:rsid w:val="000F3B8F"/>
    <w:rsid w:val="00107C47"/>
    <w:rsid w:val="00127884"/>
    <w:rsid w:val="001558EB"/>
    <w:rsid w:val="001662E7"/>
    <w:rsid w:val="00171CB6"/>
    <w:rsid w:val="00183619"/>
    <w:rsid w:val="00184AF5"/>
    <w:rsid w:val="001B0E50"/>
    <w:rsid w:val="001C15FF"/>
    <w:rsid w:val="001E2226"/>
    <w:rsid w:val="0024694E"/>
    <w:rsid w:val="00266124"/>
    <w:rsid w:val="00272700"/>
    <w:rsid w:val="00277189"/>
    <w:rsid w:val="002808A3"/>
    <w:rsid w:val="002A5B9B"/>
    <w:rsid w:val="002E4020"/>
    <w:rsid w:val="002F423F"/>
    <w:rsid w:val="00370972"/>
    <w:rsid w:val="00385B6F"/>
    <w:rsid w:val="003A2B19"/>
    <w:rsid w:val="003D37E4"/>
    <w:rsid w:val="003E201C"/>
    <w:rsid w:val="003F580D"/>
    <w:rsid w:val="004315BC"/>
    <w:rsid w:val="00484D31"/>
    <w:rsid w:val="00496C47"/>
    <w:rsid w:val="00497F8D"/>
    <w:rsid w:val="004A19D1"/>
    <w:rsid w:val="004A267E"/>
    <w:rsid w:val="004C66BD"/>
    <w:rsid w:val="004E0E5F"/>
    <w:rsid w:val="004E1ADD"/>
    <w:rsid w:val="00567799"/>
    <w:rsid w:val="005B272B"/>
    <w:rsid w:val="005D3620"/>
    <w:rsid w:val="005E1149"/>
    <w:rsid w:val="005F7114"/>
    <w:rsid w:val="00601BD7"/>
    <w:rsid w:val="00603F8A"/>
    <w:rsid w:val="0066176F"/>
    <w:rsid w:val="00674EF7"/>
    <w:rsid w:val="0067576B"/>
    <w:rsid w:val="006976F3"/>
    <w:rsid w:val="006A1B44"/>
    <w:rsid w:val="006A5FB3"/>
    <w:rsid w:val="006A79F7"/>
    <w:rsid w:val="006C0D1F"/>
    <w:rsid w:val="006E5A29"/>
    <w:rsid w:val="006E5BEC"/>
    <w:rsid w:val="007020CF"/>
    <w:rsid w:val="00712D05"/>
    <w:rsid w:val="00722EA0"/>
    <w:rsid w:val="00724D65"/>
    <w:rsid w:val="00725C28"/>
    <w:rsid w:val="00751D49"/>
    <w:rsid w:val="00763845"/>
    <w:rsid w:val="007C77D9"/>
    <w:rsid w:val="007F1B4F"/>
    <w:rsid w:val="007F3883"/>
    <w:rsid w:val="00822E1C"/>
    <w:rsid w:val="008379DF"/>
    <w:rsid w:val="00853558"/>
    <w:rsid w:val="00873BE4"/>
    <w:rsid w:val="008C0B46"/>
    <w:rsid w:val="008D4940"/>
    <w:rsid w:val="008F17F3"/>
    <w:rsid w:val="008F765F"/>
    <w:rsid w:val="00901B78"/>
    <w:rsid w:val="009100A2"/>
    <w:rsid w:val="00910E9F"/>
    <w:rsid w:val="00913928"/>
    <w:rsid w:val="00931196"/>
    <w:rsid w:val="00934D89"/>
    <w:rsid w:val="00954223"/>
    <w:rsid w:val="009560E7"/>
    <w:rsid w:val="009B06BF"/>
    <w:rsid w:val="009C02ED"/>
    <w:rsid w:val="009C2B1E"/>
    <w:rsid w:val="009C2B2A"/>
    <w:rsid w:val="009C7D40"/>
    <w:rsid w:val="009D481D"/>
    <w:rsid w:val="009F5544"/>
    <w:rsid w:val="00A348AA"/>
    <w:rsid w:val="00A374E9"/>
    <w:rsid w:val="00A44F20"/>
    <w:rsid w:val="00A54AA9"/>
    <w:rsid w:val="00A67E86"/>
    <w:rsid w:val="00A73393"/>
    <w:rsid w:val="00A96D2B"/>
    <w:rsid w:val="00AC6996"/>
    <w:rsid w:val="00AD4E6C"/>
    <w:rsid w:val="00AF2E96"/>
    <w:rsid w:val="00AF54DD"/>
    <w:rsid w:val="00B032D0"/>
    <w:rsid w:val="00B06E18"/>
    <w:rsid w:val="00B15236"/>
    <w:rsid w:val="00B30249"/>
    <w:rsid w:val="00B60C1E"/>
    <w:rsid w:val="00B929A9"/>
    <w:rsid w:val="00B97BAB"/>
    <w:rsid w:val="00BF700F"/>
    <w:rsid w:val="00C07880"/>
    <w:rsid w:val="00C21684"/>
    <w:rsid w:val="00C21F66"/>
    <w:rsid w:val="00C24B92"/>
    <w:rsid w:val="00C25BE8"/>
    <w:rsid w:val="00C26D16"/>
    <w:rsid w:val="00C42449"/>
    <w:rsid w:val="00C44A19"/>
    <w:rsid w:val="00C4507D"/>
    <w:rsid w:val="00C50A07"/>
    <w:rsid w:val="00C61D08"/>
    <w:rsid w:val="00C665DF"/>
    <w:rsid w:val="00C84FBA"/>
    <w:rsid w:val="00CB6305"/>
    <w:rsid w:val="00CE012A"/>
    <w:rsid w:val="00CE09E0"/>
    <w:rsid w:val="00CF48FD"/>
    <w:rsid w:val="00D07786"/>
    <w:rsid w:val="00D12516"/>
    <w:rsid w:val="00D17B0D"/>
    <w:rsid w:val="00D40F4F"/>
    <w:rsid w:val="00D57BA6"/>
    <w:rsid w:val="00DC13BD"/>
    <w:rsid w:val="00DD339E"/>
    <w:rsid w:val="00DE2C29"/>
    <w:rsid w:val="00E07DE4"/>
    <w:rsid w:val="00E40423"/>
    <w:rsid w:val="00E51281"/>
    <w:rsid w:val="00EF6B7C"/>
    <w:rsid w:val="00F0087D"/>
    <w:rsid w:val="00F13FE3"/>
    <w:rsid w:val="00F423A9"/>
    <w:rsid w:val="00F50159"/>
    <w:rsid w:val="00F5693A"/>
    <w:rsid w:val="00F73B89"/>
    <w:rsid w:val="00F74917"/>
    <w:rsid w:val="00F75CD2"/>
    <w:rsid w:val="00FB106D"/>
    <w:rsid w:val="00FC5117"/>
    <w:rsid w:val="00FD6627"/>
    <w:rsid w:val="00FE6156"/>
    <w:rsid w:val="00FE7170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D4DD"/>
  <w15:chartTrackingRefBased/>
  <w15:docId w15:val="{EF9E22E6-006E-4B62-8B49-C10CF809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0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paragraph" w:styleId="Naslov2">
    <w:name w:val="heading 2"/>
    <w:basedOn w:val="Normal"/>
    <w:link w:val="Naslov2Char"/>
    <w:uiPriority w:val="1"/>
    <w:qFormat/>
    <w:rsid w:val="006C0D1F"/>
    <w:pPr>
      <w:ind w:left="116"/>
      <w:outlineLvl w:val="1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6C0D1F"/>
    <w:pPr>
      <w:ind w:left="116"/>
    </w:pPr>
  </w:style>
  <w:style w:type="character" w:customStyle="1" w:styleId="TijelotekstaChar">
    <w:name w:val="Tijelo teksta Char"/>
    <w:basedOn w:val="Zadanifontodlomka"/>
    <w:link w:val="Tijeloteksta"/>
    <w:uiPriority w:val="1"/>
    <w:rsid w:val="006C0D1F"/>
    <w:rPr>
      <w:rFonts w:ascii="Calibri" w:eastAsia="Calibri" w:hAnsi="Calibri" w:cs="Calibri"/>
      <w:lang w:val="hr-HR"/>
    </w:rPr>
  </w:style>
  <w:style w:type="paragraph" w:styleId="Odlomakpopisa">
    <w:name w:val="List Paragraph"/>
    <w:basedOn w:val="Normal"/>
    <w:uiPriority w:val="1"/>
    <w:qFormat/>
    <w:rsid w:val="006C0D1F"/>
    <w:pPr>
      <w:spacing w:before="6"/>
      <w:ind w:left="836" w:hanging="361"/>
    </w:pPr>
  </w:style>
  <w:style w:type="character" w:customStyle="1" w:styleId="Naslov2Char">
    <w:name w:val="Naslov 2 Char"/>
    <w:basedOn w:val="Zadanifontodlomka"/>
    <w:link w:val="Naslov2"/>
    <w:uiPriority w:val="1"/>
    <w:rsid w:val="006C0D1F"/>
    <w:rPr>
      <w:rFonts w:ascii="Calibri" w:eastAsia="Calibri" w:hAnsi="Calibri" w:cs="Calibri"/>
      <w:b/>
      <w:bCs/>
      <w:u w:val="single" w:color="00000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E1ADD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1ADD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E1ADD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1ADD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6EB6-D5F6-4AFE-9107-8296044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20</cp:revision>
  <cp:lastPrinted>2025-01-29T08:52:00Z</cp:lastPrinted>
  <dcterms:created xsi:type="dcterms:W3CDTF">2025-01-22T09:27:00Z</dcterms:created>
  <dcterms:modified xsi:type="dcterms:W3CDTF">2025-01-29T08:52:00Z</dcterms:modified>
</cp:coreProperties>
</file>